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Default="002750A5" w:rsidP="00B629C6">
      <w:pPr>
        <w:ind w:firstLine="720"/>
        <w:jc w:val="center"/>
        <w:rPr>
          <w:rFonts w:eastAsia="Lucida Sans Unicode"/>
          <w:b/>
          <w:color w:val="000000"/>
          <w:sz w:val="20"/>
          <w:szCs w:val="20"/>
          <w:lang w:bidi="en-US"/>
        </w:rPr>
      </w:pPr>
      <w:r>
        <w:rPr>
          <w:b/>
          <w:sz w:val="20"/>
          <w:szCs w:val="20"/>
        </w:rPr>
        <w:t>на в</w:t>
      </w:r>
      <w:r w:rsidRPr="002750A5">
        <w:rPr>
          <w:b/>
          <w:sz w:val="20"/>
          <w:szCs w:val="20"/>
        </w:rPr>
        <w:t xml:space="preserve">ыполнение работ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>по изготовлению протезно-ортопедических изделий (протезы нижних конечностей)</w:t>
      </w:r>
      <w:r w:rsid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,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 xml:space="preserve"> </w:t>
      </w:r>
      <w:r w:rsidR="00C47317" w:rsidRP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в целях социального обеспечения граждан в 2024 году 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230"/>
      </w:tblGrid>
      <w:tr w:rsidR="00C36035" w:rsidRPr="002750A5" w:rsidTr="00C36035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 xml:space="preserve">аименование изделия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C36035" w:rsidRPr="002750A5" w:rsidTr="00C36035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DE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r>
              <w:rPr>
                <w:rStyle w:val="aa"/>
                <w:sz w:val="18"/>
                <w:szCs w:val="18"/>
              </w:rPr>
              <w:footnoteReference w:id="1"/>
            </w:r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индивидуальный, по гипсовому слепку с культи пациента,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C36035" w:rsidRPr="002750A5" w:rsidTr="00C36035">
        <w:trPr>
          <w:trHeight w:val="1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индивидуально изготовлена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C36035" w:rsidRPr="002750A5" w:rsidTr="00C36035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 энергосберегающей стопой.</w:t>
            </w:r>
          </w:p>
        </w:tc>
      </w:tr>
      <w:tr w:rsidR="00C36035" w:rsidRPr="002750A5" w:rsidTr="00C36035">
        <w:trPr>
          <w:trHeight w:val="1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системой позволяющей изменять объемы приемной гильзы,  с вкладным элементом из кожи. Материалы и модульные полуфабрикаты соответствуют уровню активности и массе пациента. Стопа полиуретановая </w:t>
            </w:r>
            <w:proofErr w:type="spellStart"/>
            <w:r w:rsidRPr="002750A5">
              <w:rPr>
                <w:sz w:val="18"/>
                <w:szCs w:val="18"/>
              </w:rPr>
              <w:t>бесшарнирная</w:t>
            </w:r>
            <w:proofErr w:type="spellEnd"/>
            <w:r w:rsidRPr="002750A5">
              <w:rPr>
                <w:sz w:val="18"/>
                <w:szCs w:val="18"/>
              </w:rPr>
              <w:t>.</w:t>
            </w:r>
          </w:p>
        </w:tc>
      </w:tr>
      <w:tr w:rsidR="00C36035" w:rsidRPr="002750A5" w:rsidTr="00C36035">
        <w:trPr>
          <w:trHeight w:val="2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C36035">
        <w:trPr>
          <w:trHeight w:val="2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C36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C36035">
        <w:trPr>
          <w:trHeight w:val="2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C36035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Водостойкий несущий модуль и винтовой РСУ;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C36035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C36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Водостойкий несущий модуль и винтовой РСУ; стопа водостойкая, </w:t>
            </w:r>
            <w:proofErr w:type="spellStart"/>
            <w:r w:rsidRPr="002750A5">
              <w:rPr>
                <w:sz w:val="18"/>
                <w:szCs w:val="18"/>
              </w:rPr>
              <w:t>высокофункциональная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переключения щиколотки в положение для плавания.</w:t>
            </w:r>
          </w:p>
        </w:tc>
      </w:tr>
      <w:tr w:rsidR="00C36035" w:rsidRPr="002750A5" w:rsidTr="006736FF">
        <w:trPr>
          <w:trHeight w:val="25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6736FF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36035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="00C36035" w:rsidRPr="002750A5">
              <w:rPr>
                <w:color w:val="000000"/>
                <w:sz w:val="18"/>
                <w:szCs w:val="18"/>
              </w:rPr>
              <w:t>8-07-05</w:t>
            </w:r>
            <w:proofErr w:type="gramEnd"/>
          </w:p>
          <w:p w:rsidR="004F3379" w:rsidRPr="002750A5" w:rsidRDefault="00C36035" w:rsidP="00DE700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для купания</w:t>
            </w:r>
            <w:r w:rsidR="006736FF">
              <w:rPr>
                <w:sz w:val="18"/>
                <w:szCs w:val="18"/>
              </w:rPr>
              <w:t>)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влагостойкий, гидравлический одноосный с возможностью раздельной регулировки фаз сгибания/разгибания,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</w:t>
            </w:r>
            <w:r w:rsidR="006736FF">
              <w:rPr>
                <w:sz w:val="18"/>
                <w:szCs w:val="18"/>
              </w:rPr>
              <w:t>.</w:t>
            </w:r>
          </w:p>
        </w:tc>
      </w:tr>
      <w:tr w:rsidR="006736FF" w:rsidRPr="002750A5" w:rsidTr="006736FF">
        <w:trPr>
          <w:trHeight w:val="2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6736FF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8-07-05</w:t>
            </w:r>
            <w:proofErr w:type="gramEnd"/>
          </w:p>
          <w:p w:rsidR="006736FF" w:rsidRPr="002750A5" w:rsidRDefault="006736FF" w:rsidP="006736FF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для купания</w:t>
            </w:r>
            <w:r>
              <w:rPr>
                <w:sz w:val="18"/>
                <w:szCs w:val="18"/>
              </w:rPr>
              <w:t>)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влагостойкий механический одноосный,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6736FF" w:rsidRPr="002750A5" w:rsidTr="006736FF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6736FF">
            <w:pPr>
              <w:jc w:val="center"/>
              <w:rPr>
                <w:sz w:val="18"/>
                <w:szCs w:val="18"/>
              </w:rPr>
            </w:pPr>
          </w:p>
          <w:p w:rsidR="006736FF" w:rsidRPr="002750A5" w:rsidRDefault="00413AE3" w:rsidP="0067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13AE3">
              <w:rPr>
                <w:sz w:val="18"/>
                <w:szCs w:val="18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 возможностью ступенчатой регулировки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14 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AF5FC3">
        <w:trPr>
          <w:trHeight w:val="2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15 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с креплением за счет анатомической формы.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моделируемый термопласт. Материал постоянных приемных гильз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полимерным чехлом с замком.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термопласт. Материал постоянных приемных гильз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системой активного вакуума полимерным чехлом и герметизирующим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>,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8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за счет анатомической формы.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  <w:proofErr w:type="gramEnd"/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полицентрический с возможностью раздельной регулировки фаз сгибания/разгибания, с контролируемым подгибанием при опоре на пятку;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КТРУ:</w:t>
            </w:r>
            <w:r w:rsidRPr="006736FF">
              <w:rPr>
                <w:color w:val="000000"/>
                <w:sz w:val="18"/>
                <w:szCs w:val="18"/>
              </w:rPr>
              <w:t>32.50.22.190-00005044</w:t>
            </w:r>
            <w:r>
              <w:t xml:space="preserve"> - </w:t>
            </w:r>
            <w:r w:rsidRPr="006736FF">
              <w:rPr>
                <w:color w:val="000000"/>
                <w:sz w:val="18"/>
                <w:szCs w:val="18"/>
              </w:rPr>
              <w:t xml:space="preserve">Протез </w:t>
            </w:r>
            <w:proofErr w:type="spellStart"/>
            <w:r w:rsidRPr="006736FF">
              <w:rPr>
                <w:color w:val="000000"/>
                <w:sz w:val="18"/>
                <w:szCs w:val="18"/>
              </w:rPr>
              <w:t>трансфеморальный</w:t>
            </w:r>
            <w:proofErr w:type="spellEnd"/>
          </w:p>
          <w:p w:rsidR="00AF5FC3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2750A5">
              <w:rPr>
                <w:color w:val="000000"/>
                <w:sz w:val="18"/>
                <w:szCs w:val="18"/>
              </w:rPr>
              <w:t>8-07-10</w:t>
            </w:r>
            <w:proofErr w:type="gramEnd"/>
          </w:p>
          <w:p w:rsidR="00AF5FC3" w:rsidRDefault="00AF5FC3" w:rsidP="00AF5FC3">
            <w:pPr>
              <w:jc w:val="center"/>
              <w:rPr>
                <w:sz w:val="18"/>
                <w:szCs w:val="18"/>
                <w:vertAlign w:val="superscript"/>
              </w:rPr>
            </w:pPr>
            <w:proofErr w:type="gramStart"/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>
              <w:rPr>
                <w:sz w:val="18"/>
                <w:szCs w:val="18"/>
              </w:rPr>
              <w:t>)</w:t>
            </w:r>
            <w:r w:rsidR="00413AE3">
              <w:t xml:space="preserve"> </w:t>
            </w:r>
            <w:r w:rsidR="00413AE3" w:rsidRPr="00413AE3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13AE3" w:rsidRDefault="00413AE3" w:rsidP="00AF5FC3">
            <w:pPr>
              <w:jc w:val="center"/>
              <w:rPr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901FE2" w:rsidP="001D2125">
            <w:pPr>
              <w:jc w:val="both"/>
              <w:rPr>
                <w:sz w:val="18"/>
                <w:szCs w:val="18"/>
              </w:rPr>
            </w:pPr>
            <w:r w:rsidRPr="00901FE2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</w:t>
            </w:r>
            <w:proofErr w:type="gramStart"/>
            <w:r w:rsidRPr="00901FE2">
              <w:rPr>
                <w:sz w:val="18"/>
                <w:szCs w:val="18"/>
              </w:rPr>
              <w:t>лечебно-тренировочного</w:t>
            </w:r>
            <w:proofErr w:type="gramEnd"/>
            <w:r w:rsidRPr="00901FE2">
              <w:rPr>
                <w:sz w:val="18"/>
                <w:szCs w:val="18"/>
              </w:rPr>
              <w:t>.</w:t>
            </w:r>
          </w:p>
        </w:tc>
      </w:tr>
      <w:tr w:rsidR="00AF5FC3" w:rsidRPr="002750A5" w:rsidTr="00AF5FC3">
        <w:trPr>
          <w:trHeight w:val="2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2" w:colLast="2"/>
            <w:r w:rsidRPr="002750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EE2F9C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8-07-11</w:t>
            </w:r>
          </w:p>
          <w:p w:rsidR="00AF5FC3" w:rsidRDefault="00AF5FC3" w:rsidP="00DD0511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2750A5">
              <w:rPr>
                <w:sz w:val="18"/>
                <w:szCs w:val="18"/>
              </w:rPr>
              <w:t>вычленении</w:t>
            </w:r>
            <w:proofErr w:type="gramEnd"/>
            <w:r w:rsidRPr="002750A5">
              <w:rPr>
                <w:sz w:val="18"/>
                <w:szCs w:val="18"/>
              </w:rPr>
              <w:t xml:space="preserve"> бедра модульный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EE2F9C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2F9C">
              <w:rPr>
                <w:sz w:val="18"/>
                <w:szCs w:val="18"/>
              </w:rPr>
              <w:t>01.28.08.07.11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EE2F9C" w:rsidRPr="002750A5" w:rsidRDefault="00EE2F9C" w:rsidP="00DD0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2750A5">
              <w:rPr>
                <w:sz w:val="18"/>
                <w:szCs w:val="18"/>
              </w:rPr>
              <w:t>вычленении</w:t>
            </w:r>
            <w:proofErr w:type="gramEnd"/>
            <w:r w:rsidRPr="002750A5">
              <w:rPr>
                <w:sz w:val="18"/>
                <w:szCs w:val="18"/>
              </w:rPr>
              <w:t xml:space="preserve"> бедра модульный, приемная гильза индивидуальная по слепку с культи пациента, из многослойных пластиков с закладными силовыми элементами, со смягчающим вкладным элементом из вспененных материалов. Материалы и модульные полуфабрикаты соответствуют уровню активности и массе пациента. Тазобедренный шарнир одноосный с возможностью бесступенчатой регулировки разгибания; коленный шарнир механический четырехзвенный с возможностью регулировки фазы переноса;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</w:t>
            </w:r>
          </w:p>
        </w:tc>
      </w:tr>
      <w:bookmarkEnd w:id="0"/>
    </w:tbl>
    <w:p w:rsidR="00EE2F9C" w:rsidRDefault="00EE2F9C" w:rsidP="00451899">
      <w:pPr>
        <w:jc w:val="both"/>
        <w:rPr>
          <w:b/>
        </w:rPr>
      </w:pPr>
    </w:p>
    <w:p w:rsidR="00EE2F9C" w:rsidRPr="00371F99" w:rsidRDefault="00EE2F9C" w:rsidP="00EE2F9C">
      <w:pPr>
        <w:ind w:left="426" w:firstLine="567"/>
        <w:jc w:val="both"/>
        <w:rPr>
          <w:b/>
        </w:rPr>
      </w:pPr>
      <w:r w:rsidRPr="00371F99">
        <w:rPr>
          <w:b/>
        </w:rPr>
        <w:t xml:space="preserve">Условия выполнения работ: </w:t>
      </w:r>
      <w:r w:rsidRPr="00371F99">
        <w:rPr>
          <w:bCs/>
        </w:rPr>
        <w:t xml:space="preserve">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Протез нижней конечности – техническое средство реабилитации, заменяющее частично или полностью отсутствующую (имеющую врожденные дефекты) нижнюю конечность и служащее для восполнения косметического и (или) функционального дефекта.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 xml:space="preserve"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 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журнала телефонных звонков Получателей;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Получателей о дате, времени и месте выдачи;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proofErr w:type="gramStart"/>
      <w:r w:rsidRPr="00371F99">
        <w:rPr>
          <w:rFonts w:eastAsia="Calibri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  <w:proofErr w:type="gramEnd"/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 xml:space="preserve"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</w:t>
      </w:r>
      <w:r w:rsidRPr="00371F99">
        <w:rPr>
          <w:rFonts w:eastAsia="Calibri"/>
          <w:lang w:eastAsia="en-US"/>
        </w:rPr>
        <w:lastRenderedPageBreak/>
        <w:t>предоставить Заказчику фотоотчет или видеоотчет передачи протезно-ортопедических изделий Получателям.</w:t>
      </w:r>
    </w:p>
    <w:p w:rsidR="00EE2F9C" w:rsidRPr="00371F99" w:rsidRDefault="00EE2F9C" w:rsidP="00EE2F9C">
      <w:pPr>
        <w:keepNext/>
        <w:shd w:val="clear" w:color="auto" w:fill="FFFFFF"/>
        <w:tabs>
          <w:tab w:val="left" w:pos="567"/>
          <w:tab w:val="num" w:pos="708"/>
          <w:tab w:val="left" w:pos="993"/>
        </w:tabs>
        <w:ind w:left="426"/>
        <w:jc w:val="both"/>
      </w:pPr>
      <w:r w:rsidRPr="00371F99">
        <w:tab/>
      </w:r>
      <w:r w:rsidRPr="00371F99">
        <w:tab/>
      </w:r>
      <w:r w:rsidRPr="00371F99">
        <w:tab/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 </w:t>
      </w:r>
    </w:p>
    <w:p w:rsidR="00EE2F9C" w:rsidRPr="00371F99" w:rsidRDefault="00EE2F9C" w:rsidP="00EE2F9C">
      <w:pPr>
        <w:ind w:left="426" w:firstLine="567"/>
        <w:jc w:val="both"/>
        <w:rPr>
          <w:b/>
        </w:rPr>
      </w:pPr>
      <w:r w:rsidRPr="00371F99">
        <w:rPr>
          <w:b/>
        </w:rPr>
        <w:t>Требования к качеству, техническим и функциональным характеристикам выполнения работ по изготовлению: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 </w:t>
      </w:r>
      <w:proofErr w:type="gramStart"/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</w:t>
      </w:r>
      <w:proofErr w:type="gramEnd"/>
      <w:r w:rsidRPr="00371F99">
        <w:t xml:space="preserve"> уровень двигательной активности и иные значимые для целей реабилитации </w:t>
      </w:r>
      <w:proofErr w:type="gramStart"/>
      <w:r w:rsidRPr="00371F99">
        <w:t>медико-социальные</w:t>
      </w:r>
      <w:proofErr w:type="gramEnd"/>
      <w:r w:rsidRPr="00371F99">
        <w:t xml:space="preserve"> аспекты.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С учетом уровня ампутации и модулирования, применяемого в протезировании: 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- лечебно-тренировочный протез нижней конечности должен выполнять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</w:t>
      </w:r>
      <w:proofErr w:type="spellStart"/>
      <w:r w:rsidRPr="00371F99">
        <w:t>первичо</w:t>
      </w:r>
      <w:proofErr w:type="spellEnd"/>
      <w:r w:rsidRPr="00371F99">
        <w:t>-постоянный протез нижней конечности с возможностью замены приемной гильзы;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постоянный протез нижней конечности предназначается после завершения использования лечебно-тренировочного протеза;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рабочий протез нижней конечности должен иметь внешний вид упрощенной конструкции протеза без стопы.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Материалы приемных гильз, контактирующих с телом человека, должны быть разрешены к применению Минздравом России.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Узлы протезов должны быть стойкими к воздействию физиологических растворов (пота, мочи).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color w:val="0E141A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конечностей должны соответствовать требованиям </w:t>
      </w:r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ГОСТ </w:t>
      </w:r>
      <w:proofErr w:type="gramStart"/>
      <w:r w:rsidRPr="00371F99">
        <w:rPr>
          <w:rFonts w:ascii="Times New Roman" w:hAnsi="Times New Roman"/>
          <w:bCs/>
          <w:color w:val="0E141A"/>
          <w:sz w:val="24"/>
          <w:szCs w:val="24"/>
        </w:rPr>
        <w:t>Р</w:t>
      </w:r>
      <w:proofErr w:type="gram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ИСО 22523-2007 «Протезы конечностей и </w:t>
      </w:r>
      <w:proofErr w:type="spellStart"/>
      <w:r w:rsidRPr="00371F99">
        <w:rPr>
          <w:rFonts w:ascii="Times New Roman" w:hAnsi="Times New Roman"/>
          <w:bCs/>
          <w:color w:val="0E141A"/>
          <w:sz w:val="24"/>
          <w:szCs w:val="24"/>
        </w:rPr>
        <w:t>ортезы</w:t>
      </w:r>
      <w:proofErr w:type="spell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наружные. Требования и методы испытаний»,</w:t>
      </w:r>
      <w:r w:rsidRPr="00371F99">
        <w:rPr>
          <w:rFonts w:ascii="Times New Roman" w:hAnsi="Times New Roman"/>
          <w:color w:val="0E141A"/>
          <w:sz w:val="24"/>
          <w:szCs w:val="24"/>
        </w:rPr>
        <w:t xml:space="preserve"> ГОСТ </w:t>
      </w:r>
      <w:proofErr w:type="gramStart"/>
      <w:r w:rsidRPr="00371F99">
        <w:rPr>
          <w:rFonts w:ascii="Times New Roman" w:hAnsi="Times New Roman"/>
          <w:color w:val="0E141A"/>
          <w:sz w:val="24"/>
          <w:szCs w:val="24"/>
        </w:rPr>
        <w:t>Р</w:t>
      </w:r>
      <w:proofErr w:type="gramEnd"/>
      <w:r w:rsidRPr="00371F99">
        <w:rPr>
          <w:rFonts w:ascii="Times New Roman" w:hAnsi="Times New Roman"/>
          <w:color w:val="0E141A"/>
          <w:sz w:val="24"/>
          <w:szCs w:val="24"/>
        </w:rPr>
        <w:t xml:space="preserve"> 51819-2022 «Протезирование и </w:t>
      </w:r>
      <w:proofErr w:type="spellStart"/>
      <w:r w:rsidRPr="00371F99">
        <w:rPr>
          <w:rFonts w:ascii="Times New Roman" w:hAnsi="Times New Roman"/>
          <w:color w:val="0E141A"/>
          <w:sz w:val="24"/>
          <w:szCs w:val="24"/>
        </w:rPr>
        <w:t>ортезирование</w:t>
      </w:r>
      <w:proofErr w:type="spellEnd"/>
      <w:r w:rsidRPr="00371F99">
        <w:rPr>
          <w:rFonts w:ascii="Times New Roman" w:hAnsi="Times New Roman"/>
          <w:color w:val="0E141A"/>
          <w:sz w:val="24"/>
          <w:szCs w:val="24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Исполнитель подтверждает качество изготавливаемых протезов нижних конечностей в соответствии с законодательством Российской Федерации.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371F99">
        <w:t>Р</w:t>
      </w:r>
      <w:proofErr w:type="gramEnd"/>
      <w:r w:rsidRPr="00371F99">
        <w:t xml:space="preserve"> 59542-2021 и организовать выдачу технического средства реабилитации.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В соответствии с «ГОСТ </w:t>
      </w:r>
      <w:proofErr w:type="gramStart"/>
      <w:r w:rsidRPr="00371F99">
        <w:t>Р</w:t>
      </w:r>
      <w:proofErr w:type="gramEnd"/>
      <w:r w:rsidRPr="00371F99"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В целях подтверждения проведенного обучения должно быть предусмотрено условие об обязанности исполнителя (подрядчика) составить</w:t>
      </w:r>
      <w:r>
        <w:t xml:space="preserve"> в соответствии с требованиями  </w:t>
      </w:r>
      <w:r w:rsidRPr="00371F99">
        <w:t xml:space="preserve">пункта 4.6 ГОСТ </w:t>
      </w:r>
      <w:proofErr w:type="gramStart"/>
      <w:r w:rsidRPr="00371F99">
        <w:t>Р</w:t>
      </w:r>
      <w:proofErr w:type="gramEnd"/>
      <w:r w:rsidRPr="00371F99">
        <w:t xml:space="preserve"> 59542-2021 заключение о проведенном курсе обучения и достигнутом медицинском </w:t>
      </w:r>
      <w:r w:rsidRPr="00371F99">
        <w:lastRenderedPageBreak/>
        <w:t xml:space="preserve">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приема передачи изделия получателю. </w:t>
      </w: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безопасности работ</w:t>
      </w:r>
    </w:p>
    <w:p w:rsidR="00EE2F9C" w:rsidRPr="00371F99" w:rsidRDefault="00EE2F9C" w:rsidP="00EE2F9C">
      <w:pPr>
        <w:ind w:left="426" w:right="-81" w:firstLine="567"/>
        <w:jc w:val="both"/>
      </w:pPr>
      <w:proofErr w:type="gramStart"/>
      <w:r w:rsidRPr="00371F99"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  <w:proofErr w:type="gramEnd"/>
    </w:p>
    <w:p w:rsidR="00EE2F9C" w:rsidRPr="00371F99" w:rsidRDefault="00EE2F9C" w:rsidP="00EE2F9C">
      <w:pPr>
        <w:ind w:left="426" w:right="-81" w:firstLine="567"/>
        <w:jc w:val="both"/>
      </w:pPr>
      <w:r w:rsidRPr="00371F99">
        <w:t>Изготовитель должен установить средства, с помощью которых поверхности протезного устройства могут быть очищены или продезинфицированы;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 w:rsidRPr="00371F99">
        <w:rPr>
          <w:rFonts w:ascii="Times New Roman" w:hAnsi="Times New Roman"/>
          <w:b/>
          <w:sz w:val="24"/>
          <w:szCs w:val="24"/>
        </w:rPr>
        <w:t>Требования к результатам работы: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EE2F9C" w:rsidRPr="00371F99" w:rsidRDefault="00EE2F9C" w:rsidP="00EE2F9C">
      <w:pPr>
        <w:ind w:left="426" w:right="-81" w:firstLine="567"/>
        <w:jc w:val="both"/>
      </w:pP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сроку и (или) объему предоставленных гарантий качества выполнения работ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Изделия не должны иметь дефектов, связанных с материалами или качеством изготовления, либо проявляющихся в результате использования в обычных условиях.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Использование изделий не должно создавать угрозы для жизни и здоровья потребителей, окружающей среды. Использование изделий не должно причинять вред имуществу пол</w:t>
      </w:r>
      <w:r>
        <w:rPr>
          <w:rFonts w:ascii="Times New Roman" w:hAnsi="Times New Roman"/>
          <w:sz w:val="24"/>
          <w:szCs w:val="24"/>
        </w:rPr>
        <w:t>ьзователя при его эксплуатации.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В течение этого срока предприятие-изготовитель обязано производить замену или ремонт изделия бесплатно.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Замена приемных гильз на лечебно-тренировочные протезы производится по медицинским показаниям - до 3-х раз в год.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Гарантия не распространятся на изделия, вышедшие из строя не по вине производителя (несоблюдение инструкций изготовителя, изменение объемных размеров культи получателя).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Осуществление гарантийного обслуживания протезов предусматривает 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гарантийного обслуживание изделиях. В гарантийных талонах должны быть указаны адреса и режим работы пункта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371F99"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371F99"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:rsidR="00EE2F9C" w:rsidRPr="00371F99" w:rsidRDefault="00EE2F9C" w:rsidP="00EE2F9C">
      <w:pPr>
        <w:widowControl w:val="0"/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E2F9C" w:rsidRPr="00371F99" w:rsidRDefault="00EE2F9C" w:rsidP="00EE2F9C">
      <w:pPr>
        <w:ind w:left="426" w:right="-81" w:firstLine="567"/>
        <w:jc w:val="both"/>
      </w:pPr>
      <w:r w:rsidRPr="002C6AC8">
        <w:t>Обеспечение гарантийных обязательств составляет 1 (один) % от начальной максимальной цены контракта.</w:t>
      </w: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ab/>
        <w:t>Требования к маркировке, упаковке, транспортированию и хранению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lastRenderedPageBreak/>
        <w:t xml:space="preserve">Маркировка, упаковка и хранение протезов должны осуществляться с соблюдением требований ГОСТ </w:t>
      </w:r>
      <w:proofErr w:type="gramStart"/>
      <w:r w:rsidRPr="00371F99">
        <w:t>Р</w:t>
      </w:r>
      <w:proofErr w:type="gramEnd"/>
      <w:r w:rsidRPr="00371F99">
        <w:t xml:space="preserve"> ИСО 22523-2007 «Протезы конечностей и </w:t>
      </w:r>
      <w:proofErr w:type="spellStart"/>
      <w:r w:rsidRPr="00371F99">
        <w:t>ортезы</w:t>
      </w:r>
      <w:proofErr w:type="spellEnd"/>
      <w:r w:rsidRPr="00371F99">
        <w:t xml:space="preserve"> наружные. Требования и методы испытаний» (раздел 13.2 «Маркировка», раздел 14 «Упаковка»).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назначению;  </w:t>
      </w:r>
    </w:p>
    <w:p w:rsidR="009B0BF0" w:rsidRPr="00371F99" w:rsidRDefault="009B0BF0" w:rsidP="00EE2F9C">
      <w:pPr>
        <w:ind w:left="426" w:firstLine="567"/>
        <w:jc w:val="both"/>
        <w:rPr>
          <w:b/>
        </w:rPr>
      </w:pPr>
    </w:p>
    <w:sectPr w:rsidR="009B0BF0" w:rsidRPr="00371F99" w:rsidSect="001D212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E3" w:rsidRDefault="00413AE3" w:rsidP="00C36035">
      <w:r>
        <w:separator/>
      </w:r>
    </w:p>
  </w:endnote>
  <w:endnote w:type="continuationSeparator" w:id="0">
    <w:p w:rsidR="00413AE3" w:rsidRDefault="00413AE3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E3" w:rsidRDefault="00413AE3" w:rsidP="00C36035">
      <w:r>
        <w:separator/>
      </w:r>
    </w:p>
  </w:footnote>
  <w:footnote w:type="continuationSeparator" w:id="0">
    <w:p w:rsidR="00413AE3" w:rsidRDefault="00413AE3" w:rsidP="00C36035">
      <w:r>
        <w:continuationSeparator/>
      </w:r>
    </w:p>
  </w:footnote>
  <w:footnote w:id="1">
    <w:p w:rsidR="00413AE3" w:rsidRPr="007B6334" w:rsidRDefault="00413AE3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C16C3"/>
    <w:rsid w:val="000C449E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207BD2"/>
    <w:rsid w:val="00220B02"/>
    <w:rsid w:val="00235B76"/>
    <w:rsid w:val="00244513"/>
    <w:rsid w:val="002638B6"/>
    <w:rsid w:val="002750A5"/>
    <w:rsid w:val="00311141"/>
    <w:rsid w:val="003347C1"/>
    <w:rsid w:val="003673B7"/>
    <w:rsid w:val="00371F99"/>
    <w:rsid w:val="00381214"/>
    <w:rsid w:val="00413AE3"/>
    <w:rsid w:val="004222D0"/>
    <w:rsid w:val="00451899"/>
    <w:rsid w:val="00455A41"/>
    <w:rsid w:val="004952E9"/>
    <w:rsid w:val="004F3379"/>
    <w:rsid w:val="004F47D3"/>
    <w:rsid w:val="00544F2A"/>
    <w:rsid w:val="005456DC"/>
    <w:rsid w:val="0057764D"/>
    <w:rsid w:val="005A7787"/>
    <w:rsid w:val="00601C06"/>
    <w:rsid w:val="0063049D"/>
    <w:rsid w:val="006736FF"/>
    <w:rsid w:val="0067545D"/>
    <w:rsid w:val="00682C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A0309F"/>
    <w:rsid w:val="00A60D7E"/>
    <w:rsid w:val="00A85E7E"/>
    <w:rsid w:val="00A917D4"/>
    <w:rsid w:val="00AF5FC3"/>
    <w:rsid w:val="00B1521D"/>
    <w:rsid w:val="00B2198E"/>
    <w:rsid w:val="00B30D09"/>
    <w:rsid w:val="00B629C6"/>
    <w:rsid w:val="00BB5F46"/>
    <w:rsid w:val="00BD7A7E"/>
    <w:rsid w:val="00BF605C"/>
    <w:rsid w:val="00C36035"/>
    <w:rsid w:val="00C47317"/>
    <w:rsid w:val="00C73055"/>
    <w:rsid w:val="00C83F92"/>
    <w:rsid w:val="00C96F72"/>
    <w:rsid w:val="00D83248"/>
    <w:rsid w:val="00DA10A7"/>
    <w:rsid w:val="00DD0511"/>
    <w:rsid w:val="00DE700E"/>
    <w:rsid w:val="00DF0520"/>
    <w:rsid w:val="00DF76E9"/>
    <w:rsid w:val="00E017AF"/>
    <w:rsid w:val="00E12B1F"/>
    <w:rsid w:val="00E26237"/>
    <w:rsid w:val="00EA6563"/>
    <w:rsid w:val="00ED5E12"/>
    <w:rsid w:val="00EE2F9C"/>
    <w:rsid w:val="00F20C2E"/>
    <w:rsid w:val="00F623E7"/>
    <w:rsid w:val="00F66C19"/>
    <w:rsid w:val="00F67A9E"/>
    <w:rsid w:val="00F862A1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002F-9F4C-47E1-97AD-87E36EBB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12</cp:revision>
  <cp:lastPrinted>2023-10-25T09:17:00Z</cp:lastPrinted>
  <dcterms:created xsi:type="dcterms:W3CDTF">2023-10-19T11:25:00Z</dcterms:created>
  <dcterms:modified xsi:type="dcterms:W3CDTF">2024-10-04T10:59:00Z</dcterms:modified>
</cp:coreProperties>
</file>