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68" w:rsidRPr="000B4468" w:rsidRDefault="000B4468" w:rsidP="000B4468">
      <w:pPr>
        <w:widowControl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0B4468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Приложение № 1 к извещению</w:t>
      </w:r>
    </w:p>
    <w:p w:rsidR="000B4468" w:rsidRPr="000B4468" w:rsidRDefault="000B4468" w:rsidP="000B4468">
      <w:pPr>
        <w:widowControl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</w:p>
    <w:p w:rsidR="000B4468" w:rsidRPr="000B4468" w:rsidRDefault="000B4468" w:rsidP="000B446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  <w:r w:rsidRPr="000B4468"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  <w:t xml:space="preserve">ОСФР по Чувашской Республике – Чувашии (далее – Заказчик), руководствуясь статьей 33 Федерального закона от 5 апреля 2013 г. </w:t>
      </w:r>
      <w:r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  <w:br/>
      </w:r>
      <w:r w:rsidRPr="000B4468"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  <w:t>№ 44-ФЗ "О контрактной системе в сфере закупок товаров, работ, услуг для государственных и муниципальных нужд", устанавливает для всех участников закупки, без предоставления кому-либо приоритета, единые требования, связанные с определением соответствия выполняемых работ</w:t>
      </w:r>
      <w:r w:rsidRPr="000B4468">
        <w:rPr>
          <w:rFonts w:ascii="Times New Roman" w:eastAsia="Andale Sans UI" w:hAnsi="Times New Roman" w:cs="Tahoma"/>
          <w:i/>
          <w:color w:val="0000FF"/>
          <w:kern w:val="1"/>
          <w:sz w:val="24"/>
          <w:szCs w:val="24"/>
          <w:lang w:eastAsia="zh-CN" w:bidi="en-US"/>
        </w:rPr>
        <w:t xml:space="preserve"> </w:t>
      </w:r>
      <w:r w:rsidRPr="000B4468"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  <w:t>потребностям Заказчика, не менее тех параметров, установленных (указанных) в описании объекта закупки.</w:t>
      </w:r>
    </w:p>
    <w:p w:rsidR="000B4468" w:rsidRPr="000B4468" w:rsidRDefault="000B4468" w:rsidP="000B4468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  <w:r w:rsidRPr="000B4468"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  <w:t>В иных случаях, в связи с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показателей, требований, условных обеспечений и терминологий, настоящее описание закупки, в целях закупки работ, соответствующих потребностям Заказчика, содержит иные (общепринятые) показатели, требования, условные обозначения и терминологии, которые применяются исполнителями услуг, являющихся предметом настоящей закупки.</w:t>
      </w:r>
    </w:p>
    <w:p w:rsidR="000B4468" w:rsidRPr="000B4468" w:rsidRDefault="000B4468" w:rsidP="000B4468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</w:p>
    <w:p w:rsidR="000B4468" w:rsidRPr="000B4468" w:rsidRDefault="000B4468" w:rsidP="000B4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firstLine="601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  <w:r w:rsidRPr="000B4468">
        <w:rPr>
          <w:rFonts w:ascii="Times New Roman" w:eastAsia="Andale Sans UI" w:hAnsi="Times New Roman" w:cs="Tahoma"/>
          <w:kern w:val="1"/>
          <w:sz w:val="24"/>
          <w:szCs w:val="24"/>
          <w:u w:val="single"/>
          <w:lang w:eastAsia="zh-CN" w:bidi="en-US"/>
        </w:rPr>
        <w:t>Обоснование необходимости использования дополнительной информации</w:t>
      </w:r>
      <w:r w:rsidRPr="000B4468"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  <w:t>:</w:t>
      </w:r>
    </w:p>
    <w:p w:rsidR="000B4468" w:rsidRPr="000B4468" w:rsidRDefault="000B4468" w:rsidP="000B4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15"/>
          <w:tab w:val="center" w:pos="4677"/>
        </w:tabs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  <w:r w:rsidRPr="000B4468">
        <w:rPr>
          <w:rFonts w:ascii="Times New Roman" w:eastAsia="Andale Sans UI" w:hAnsi="Times New Roman" w:cs="Tahoma"/>
          <w:i/>
          <w:kern w:val="1"/>
          <w:sz w:val="24"/>
          <w:szCs w:val="24"/>
          <w:lang w:eastAsia="zh-CN" w:bidi="en-US"/>
        </w:rPr>
        <w:t>В соответствии с требованиями статьи 33 Закона № 44-ФЗ, в связи с тем, что характеристики и показатели отсутствуют в КТРУ для обеспечения соответствия закупаемых работ потребностям Заказчика – в описании объекта закупки использовались характеристики и показатели (потребительские, функциональные, технические, качественные, эксплуатационные) работ, не предусмотренные КТРУ</w:t>
      </w:r>
      <w:r w:rsidRPr="000B4468"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  <w:t>.</w:t>
      </w:r>
    </w:p>
    <w:p w:rsidR="000B4468" w:rsidRPr="000B4468" w:rsidRDefault="000B4468" w:rsidP="000B4468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</w:p>
    <w:p w:rsidR="00F83833" w:rsidRDefault="00F83833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F83833" w:rsidRDefault="0015033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ОПИСАНИЕ ОБЪЕКТА ЗАКУПКИ</w:t>
      </w:r>
    </w:p>
    <w:p w:rsidR="00F83833" w:rsidRDefault="00150331">
      <w:pPr>
        <w:keepNext/>
        <w:widowControl w:val="0"/>
        <w:tabs>
          <w:tab w:val="left" w:pos="0"/>
        </w:tabs>
        <w:spacing w:after="0" w:line="220" w:lineRule="atLeast"/>
        <w:contextualSpacing/>
        <w:jc w:val="center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(Техническое задание на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ыполнение работ по изготовлению специальной одежды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целях  социального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обеспечения   граждан  в  2025 году)</w:t>
      </w:r>
    </w:p>
    <w:p w:rsidR="00F83833" w:rsidRDefault="00F83833">
      <w:pPr>
        <w:tabs>
          <w:tab w:val="left" w:pos="1800"/>
        </w:tabs>
        <w:spacing w:afterAutospacing="1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 w:bidi="ru-RU"/>
        </w:rPr>
      </w:pPr>
    </w:p>
    <w:p w:rsidR="00F83833" w:rsidRDefault="00150331">
      <w:pPr>
        <w:tabs>
          <w:tab w:val="left" w:pos="1800"/>
        </w:tabs>
        <w:spacing w:afterAutospacing="1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Наименование товара</w:t>
      </w:r>
    </w:p>
    <w:p w:rsidR="00F83833" w:rsidRDefault="00150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одежда  –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одежда, сконструированная и изготовленная с учетом функциональных возможностей и потребност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ей инвалида в комплекте с различными техническими вспомогательными средствами и использованием специальной фурнитуры, а также материалов со специфическими качествами.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ar-SA"/>
        </w:rPr>
        <w:t>В соответствии с ГОСТ Р 54408-2021 «Одежда специальная для инвалидов. О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бщие технические условия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ar-SA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к специальной одежде для инвалидов предъявляются следующие требования: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«Раздел 6. Технические требования.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«6.1.3 Одежда, в зависимости от медицинского (функционального) назначения, должна включать специальные детали и функциональные узлы или иметь специальную разъемную конструкцию.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 специальным деталям относятся: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подвижные детали (клапаны, паты, бретели и др.);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фиксирующие детали (специальные застежки, ремни, манжеты, шнуры и др.);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гигиенические детали (специальные прокладки, ластовицы и др.).»</w:t>
      </w:r>
    </w:p>
    <w:p w:rsidR="00F83833" w:rsidRDefault="00150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«6.3 Требования к изготовлению</w:t>
      </w:r>
    </w:p>
    <w:p w:rsidR="00F83833" w:rsidRDefault="00150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6.3.1 Одежду необходимо изготавливать для конкретного пользователя в соответствии с заказом.»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«Раздел 7. Требования безопасности</w:t>
      </w:r>
    </w:p>
    <w:p w:rsidR="00F83833" w:rsidRDefault="001503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7.1 Одежду необходимо изготавливать из безопасных для здоровья пользователя материалов.»</w:t>
      </w:r>
    </w:p>
    <w:p w:rsidR="00F83833" w:rsidRDefault="00150331">
      <w:pPr>
        <w:keepNext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работ по обеспе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чению инвалидов специальной одеждой осуществляется при наличии декларации о соответствии или сертификата соответствия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либо иных документов, свидетель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о качестве и безопасности Товара, предусмотренных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833" w:rsidRDefault="00150331">
      <w:pPr>
        <w:shd w:val="clear" w:color="auto" w:fill="FFFFFF"/>
        <w:spacing w:after="0" w:line="100" w:lineRule="atLeast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 w:bidi="ru-RU"/>
        </w:rPr>
        <w:t>Требования к количественным и качественным характеристикам изделий</w:t>
      </w:r>
    </w:p>
    <w:p w:rsidR="00F83833" w:rsidRDefault="00F83833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F83833" w:rsidRDefault="00F83833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F83833" w:rsidRDefault="00F83833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tbl>
      <w:tblPr>
        <w:tblStyle w:val="aff2"/>
        <w:tblW w:w="14763" w:type="dxa"/>
        <w:tblInd w:w="10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06"/>
        <w:gridCol w:w="977"/>
        <w:gridCol w:w="1432"/>
        <w:gridCol w:w="976"/>
        <w:gridCol w:w="1559"/>
        <w:gridCol w:w="868"/>
        <w:gridCol w:w="6929"/>
        <w:gridCol w:w="1416"/>
      </w:tblGrid>
      <w:tr w:rsidR="00F83833">
        <w:trPr>
          <w:trHeight w:val="1427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ind w:left="-108" w:right="-6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ОКПД2/</w:t>
            </w:r>
          </w:p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976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868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6928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6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Инструкция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 заполнению характеристики в заявке</w:t>
            </w:r>
          </w:p>
        </w:tc>
      </w:tr>
      <w:tr w:rsidR="00F83833">
        <w:trPr>
          <w:trHeight w:val="455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8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83833">
        <w:trPr>
          <w:trHeight w:val="1164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Ортопедические брюки</w:t>
            </w: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14.12.30.170/</w:t>
            </w:r>
          </w:p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14.12.30.170-00000002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Невозможно определить</w:t>
            </w: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Функциональные, технические и качественные характеристики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372687159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качественная</w:t>
                </w:r>
              </w:sdtContent>
            </w:sdt>
          </w:p>
        </w:tc>
        <w:tc>
          <w:tcPr>
            <w:tcW w:w="6928" w:type="dxa"/>
            <w:vAlign w:val="center"/>
          </w:tcPr>
          <w:p w:rsidR="00F83833" w:rsidRDefault="0015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Брюки  изготовлены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индивидуальным замерам и с учетом анатомо-функциональных особенностей инвалида.</w:t>
            </w:r>
          </w:p>
          <w:p w:rsidR="00F83833" w:rsidRDefault="0015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Ортопедические брюки для инвалидов, пользующихся креслами-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колясками  свободны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области талии и бедер. В боковые швы вставлены разъемные молнии для облегчения удобства одевания. Пояс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собран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резинку и застегивается с помощью брючных крючков или пуговиц. У ортопедических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завышенная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спинка, которая защищает спину пользователя кресла-коляски. Пройма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расширена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предоставления пользователю возможности использования подгузников. В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колен  сделаны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специальные выточки, которые обеспечивают комфорт пользователю при сидении. Накладные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карманы  расположены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над уровнем колена. На задней части брюк находиться вытачки, что создает дополнительный объем для средств гигиены. Конструкция ортопедических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соответствует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антропометрическим особенностям сидящего в кресло - коляске человека.</w:t>
            </w:r>
          </w:p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370287714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Значение хар-ки не может меняться</w:t>
                </w:r>
              </w:sdtContent>
            </w:sdt>
          </w:p>
        </w:tc>
      </w:tr>
      <w:tr w:rsidR="00F83833">
        <w:trPr>
          <w:trHeight w:val="407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Ортопедические брюки</w:t>
            </w:r>
          </w:p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14.12.30.170/</w:t>
            </w:r>
          </w:p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14.12.30.170-00000002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Невозможно определить</w:t>
            </w: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Функциональные, технические и качественные характеристики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449749352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качественная</w:t>
                </w:r>
              </w:sdtContent>
            </w:sdt>
          </w:p>
        </w:tc>
        <w:tc>
          <w:tcPr>
            <w:tcW w:w="6928" w:type="dxa"/>
            <w:vAlign w:val="center"/>
          </w:tcPr>
          <w:p w:rsidR="00F83833" w:rsidRDefault="0015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Брюки  изготовлены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индивидуальным замерам и с учетом анатомо-функциональных особенностей инвалида.</w:t>
            </w:r>
          </w:p>
          <w:p w:rsidR="00F83833" w:rsidRDefault="0015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Ортопедические брюки для инвалидов, пользующихся креслами-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колясками  свободны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области талии и бедер. В боковые швы вставлены разъемные молнии для облегчения удобства одевания. Пояс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собран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резинку и застегивается с помощью брючных крючков или пуговиц. У ортопедических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завышенная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спинка, которая защищает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спину пользователя кресла-коляски. Пройма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расширена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предоставления пользователю возможности использования подгузников. В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колен  сделаны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специальные выточки, которые обеспечивают комфорт пользователю при сидении. Накладные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карманы  расположены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над уровнем колена. На задней части брюк находиться вытачки, что создает дополнительный объем для средств гигиены. Конструкция ортопедических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брюк  соответствует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антропометрическим особенностям сидящего в кресло - коляске человека.</w:t>
            </w:r>
          </w:p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775741974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Значение хар-ки не может меняться</w:t>
                </w:r>
              </w:sdtContent>
            </w:sdt>
          </w:p>
        </w:tc>
      </w:tr>
      <w:tr w:rsidR="00F83833">
        <w:trPr>
          <w:trHeight w:val="481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Спец. одежда для людей с ограниченными возможностями: куртка для использования в кресле- коляске</w:t>
            </w: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14.12.30.170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Невозможно определить</w:t>
            </w: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Функциональные, технические и качественные характеристики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858625841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качественная</w:t>
                </w:r>
              </w:sdtContent>
            </w:sdt>
          </w:p>
        </w:tc>
        <w:tc>
          <w:tcPr>
            <w:tcW w:w="6928" w:type="dxa"/>
            <w:vAlign w:val="center"/>
          </w:tcPr>
          <w:p w:rsidR="00F83833" w:rsidRDefault="0015033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Куртка на подкладке, стеганная, укороченная, универсальная. Особенности конструкции и узлов: полочка прямая, застежка на разъемную молнию, В движок молнии вставлено специальное устройство для удобства эксплуатации людям со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спастикой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контрактурой рук. За счет укорочения полочки в сидячем положении куртка не упирается в ноги и не образует вздутий и складок. Спинка прямая, по отношению к полочке удлиненная в соответствии с физиологическими изменениями антропометрических размеров сидящего человека (позволяет закрыть поясничный отдел спины). Рукав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втачной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 низ рукава вставлена манжета, но плотно примыкающая к руке для защиты от порывов ветра. Рекомендуемые ткани: ткань верха – водо- и воздухонепроницаемые ткани (лаке,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плащевка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подкладка – вискоза, сатин.</w:t>
            </w:r>
          </w:p>
        </w:tc>
        <w:tc>
          <w:tcPr>
            <w:tcW w:w="1416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1616520916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Значение хар-ки не может меняться</w:t>
                </w:r>
              </w:sdtContent>
            </w:sdt>
          </w:p>
        </w:tc>
      </w:tr>
      <w:tr w:rsidR="00F83833">
        <w:trPr>
          <w:trHeight w:val="2823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Спец. одежда для людей с ограниченными возможностями: куртка для использования в кресле- коляске</w:t>
            </w: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14.12.30.170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Невозможно определить</w:t>
            </w: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Функциональные, технические и качественные характеристики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971985202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качественная</w:t>
                </w:r>
              </w:sdtContent>
            </w:sdt>
          </w:p>
        </w:tc>
        <w:tc>
          <w:tcPr>
            <w:tcW w:w="6928" w:type="dxa"/>
            <w:vAlign w:val="center"/>
          </w:tcPr>
          <w:p w:rsidR="00F83833" w:rsidRDefault="0015033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Куртка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утепленная со съемной подкладкой, стеганная, укороченная, универсальная. Особенности конструкции и узлов: полочка прямая, застежка на разъемную молнию, В движок молнии вставлено специальное устройство для удобства эксплуатации людям со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спастикой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контрактурой рук. За счет укорочения полочки в сидячем положении куртка не упирается в ноги и не образует вздутий и складок. Спинка прямая, по отношению к полочке удлиненная в соответствии с физиологическими изменениями антропометрических размеров сидящего человека (позволяет закрыть поясничный отдел спины). Рукав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втачной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 низ рукава вставлена манжета, но плотно примыкающая к руке для защиты от порывов ветра. Рекомендуемые ткани: ткань верха – водо- и воздухонепроницаемые ткани (лаке,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плащевка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подкладка – вискоза, сатин.</w:t>
            </w:r>
          </w:p>
        </w:tc>
        <w:tc>
          <w:tcPr>
            <w:tcW w:w="1416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903642131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Значение хар-ки не может меняться</w:t>
                </w:r>
              </w:sdtContent>
            </w:sdt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833">
        <w:trPr>
          <w:trHeight w:val="407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Комплект функционально-эстетической одежды для инвалидов с парной ампутацией верхних конечностей</w:t>
            </w:r>
          </w:p>
          <w:p w:rsidR="00F83833" w:rsidRDefault="00F838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14.12.30.170/</w:t>
            </w:r>
          </w:p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14.12.30.170-00000001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Невозможно определить</w:t>
            </w: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Функциональные, технические и качественные характеристики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1601871837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качественная</w:t>
                </w:r>
              </w:sdtContent>
            </w:sdt>
          </w:p>
        </w:tc>
        <w:tc>
          <w:tcPr>
            <w:tcW w:w="6928" w:type="dxa"/>
            <w:vAlign w:val="center"/>
          </w:tcPr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Комплект функционально-эстетической одежды для инвалидов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 w:eastAsia="ar-SA" w:bidi="ru-RU"/>
              </w:rPr>
              <w:t>c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парной ампутацией верхних конечностей,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eastAsia="ar-SA" w:bidi="ru-RU"/>
              </w:rPr>
              <w:t>зимний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Комплект состоит из утепленной куртки с пристегивающимся капюшоном, со съемным утепленным жилетом и утепленных брюк/полукомбинезона (по выбору Получателя). Состав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комплекта  отвечает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медико-социальным показаниям инвалида. Все детали комплекта конструктивно взаимоподчинены друг другу.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  одежды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  изготовлен с учетом индивидуальных анатомо-функциональных особенностей и компенсаторных возможностей инвалида и имеет конструкцию, включающую специальные элементы и функциональные узлы.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  предназначен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для обеспечения самообслуживания и/или облегчения действий обслуживающих лиц.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  изготовлен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по индивидуальным замерам, включая специальные измерения, определяющие размеры и параметры специальных элементов и функциональных узлов,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lastRenderedPageBreak/>
              <w:t>обязательной корректировкой конструкции по результатам примерки.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eastAsia="ar-SA" w:bidi="ru-RU"/>
              </w:rPr>
              <w:t xml:space="preserve">Брюки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включают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следующие функциональные элементы и функциональные узлы: подвижные детали (откидной клапан паты, бретели); фиксирующие элементы (специальные застежки, ремни, шнуры); приспособления для облегчения эксплуатации одежды (манжета-кнопка, кольца, петли).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Пояс брюк регулируется по ширине с помощью эластичной ленты. Верх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брюк  изготовлен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из полиэфирной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влаго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- и ветрозащитной ткани.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eastAsia="ar-SA" w:bidi="ru-RU"/>
              </w:rPr>
              <w:t xml:space="preserve">Куртка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имеет съемный утепленный жилет и капюшон и обеспечивает беспрепятственную работу функциональных узлов брюк.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Куртка  содержит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следующие специальные элементы и функциональные узлы: специальная застежка специальный клапан для крепления капюшона.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Рукава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куртки  снабжены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 регулируемыми застежками или напульсниками с эластичными вставками (по выбору Получателя).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 xml:space="preserve">Верх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>куртки  изготовлен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 xml:space="preserve"> из полиэфирной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>влаго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>- и ветрозащитной ткани с грязеотталкивающей отделкой.</w:t>
            </w:r>
          </w:p>
          <w:p w:rsidR="00F83833" w:rsidRDefault="0015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>Комплект  изготовлен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 xml:space="preserve"> из полиэфирных тканей, обеспечивающих ветрозащиту, водонепроницаемость одежды, хорошую вентиляцию, не требующих специального ухода. После стирки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>изделие  полностью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 w:bidi="ru-RU"/>
              </w:rPr>
              <w:t xml:space="preserve"> сохранять свои теплозащитные свойства.</w:t>
            </w:r>
          </w:p>
          <w:p w:rsidR="00F83833" w:rsidRDefault="00F8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2053115000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Значение хар-ки не может меняться</w:t>
                </w:r>
              </w:sdtContent>
            </w:sdt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833">
        <w:trPr>
          <w:trHeight w:val="407"/>
        </w:trPr>
        <w:tc>
          <w:tcPr>
            <w:tcW w:w="605" w:type="dxa"/>
            <w:vAlign w:val="center"/>
          </w:tcPr>
          <w:p w:rsidR="00F83833" w:rsidRDefault="001503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77" w:type="dxa"/>
            <w:vAlign w:val="center"/>
          </w:tcPr>
          <w:p w:rsidR="00F83833" w:rsidRDefault="0015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Комплект функционально-эстетической одежды для инвалидов с парной ампутацией верхних конечностей</w:t>
            </w:r>
          </w:p>
          <w:p w:rsidR="00F83833" w:rsidRDefault="00F838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14.12.30.170/</w:t>
            </w:r>
          </w:p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14.12.30.170-00000001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Невозможно определить</w:t>
            </w:r>
          </w:p>
        </w:tc>
        <w:tc>
          <w:tcPr>
            <w:tcW w:w="1559" w:type="dxa"/>
            <w:vAlign w:val="center"/>
          </w:tcPr>
          <w:p w:rsidR="00F83833" w:rsidRDefault="001503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Функциональные, технические и качественные характеристики</w:t>
            </w:r>
          </w:p>
          <w:p w:rsidR="00F83833" w:rsidRDefault="00F8383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1580587999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качественная</w:t>
                </w:r>
              </w:sdtContent>
            </w:sdt>
          </w:p>
        </w:tc>
        <w:tc>
          <w:tcPr>
            <w:tcW w:w="6928" w:type="dxa"/>
            <w:vAlign w:val="center"/>
          </w:tcPr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 функционально-эстетической одежды для инвалидов c парной ампутацией верхних конечностей летний.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Состав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комплекта  отвечает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медико-социальным показаниям инвалида и состоит из пиджака/куртки (по выбору Получателя), брюк, трусов и гигиенических прокладок. Все детали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комплекта  конструктивно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взаимоподчинены друг другу.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Комплект одежды изготовлен с учетом индивидуальных анатомо-функциональных особенностей и компенсаторных возможностей инвалида и имеет конструкцию, включающую специальные элементы и функциональные узлы.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Комплект  предназначен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для обеспечения самообслуживания и/или облегчения действий обслуживающих лиц. Комплект изготавливается по индивидуальным замерам, включая специальные измерения, определяющие размеры и параметры специальных элементов и функциональных узлов, с обязательной корректировкой конструкции по результатам примерки</w:t>
            </w:r>
            <w:r w:rsidR="0084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Пиджак/куртка (по выбору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Получателя)  снабжен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(а) застежкой на контактной ленте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велкро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». Внешний вид и конструкция пиджака/куртки обеспечивает беспрепятственную работу функциональных узлов брюк и скрывать наличие функциональных узлов.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Брюки  включают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следующие функциональные элементы и функциональные узлы:  подвижные детали (откидной клапан паты, бретели); фиксирующие элементы (специальные застежки, ремни, шнуры); приспособления для облегчения эксплуатации одежды (манжета-кнопка, кольца, петли); гигиенические элементы (4 шт.).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>Брюки снабжены подкладкой и функциональным откидным клапаном сзади, специальными грузами в области боковых швов, гигиенической прокладкой по среднему шву и трусами с разрезом.</w:t>
            </w:r>
          </w:p>
          <w:p w:rsidR="00F83833" w:rsidRDefault="0015033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Трусы и гигиеническая прокладка (4 шт.)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 w:bidi="ru-RU"/>
              </w:rPr>
              <w:t xml:space="preserve"> изготовлены из натуральной ткани.</w:t>
            </w:r>
          </w:p>
          <w:p w:rsidR="00F83833" w:rsidRDefault="00F838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83833" w:rsidRDefault="00F838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8419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324930574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</w:sdtPr>
              <w:sdtEndPr/>
              <w:sdtContent>
                <w:r w:rsidR="0015033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Значение хар-ки не может меняться</w:t>
                </w:r>
              </w:sdtContent>
            </w:sdt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833" w:rsidRDefault="00F838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3833" w:rsidRDefault="00F83833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F83833" w:rsidRDefault="00150331">
      <w:pPr>
        <w:pStyle w:val="Standard"/>
        <w:shd w:val="clear" w:color="auto" w:fill="FFFFFF"/>
        <w:tabs>
          <w:tab w:val="left" w:pos="0"/>
        </w:tabs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Требования к упаковке</w:t>
      </w:r>
    </w:p>
    <w:p w:rsidR="00F83833" w:rsidRDefault="001503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требования к упаковке: «</w:t>
      </w:r>
      <w:r>
        <w:rPr>
          <w:rFonts w:ascii="Times New Roman" w:eastAsia="Calibri" w:hAnsi="Times New Roman" w:cs="Times New Roman"/>
          <w:sz w:val="24"/>
          <w:szCs w:val="24"/>
        </w:rPr>
        <w:t>4.11.5. Упаковка ТСР должна обеспечивать защиту ТСР от повреждений, порчи (изнашивания) или загрязнения во время хранения и транспортирования к месту использования по назначению.»</w:t>
      </w:r>
    </w:p>
    <w:p w:rsidR="00301B0D" w:rsidRDefault="00301B0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B0D" w:rsidRPr="00ED0E0C" w:rsidRDefault="00301B0D" w:rsidP="00301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0E0C">
        <w:rPr>
          <w:rFonts w:ascii="Times New Roman" w:eastAsia="Calibri" w:hAnsi="Times New Roman" w:cs="Times New Roman"/>
          <w:b/>
          <w:sz w:val="24"/>
          <w:szCs w:val="24"/>
        </w:rPr>
        <w:t>Требования к срокам и объему предоставления</w:t>
      </w:r>
    </w:p>
    <w:p w:rsidR="00301B0D" w:rsidRPr="00ED0E0C" w:rsidRDefault="00301B0D" w:rsidP="00301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0E0C">
        <w:rPr>
          <w:rFonts w:ascii="Times New Roman" w:eastAsia="Calibri" w:hAnsi="Times New Roman" w:cs="Times New Roman"/>
          <w:b/>
          <w:sz w:val="24"/>
          <w:szCs w:val="24"/>
        </w:rPr>
        <w:t>гарантии качества работ</w:t>
      </w:r>
    </w:p>
    <w:p w:rsidR="00301B0D" w:rsidRPr="00ED0E0C" w:rsidRDefault="00301B0D" w:rsidP="00301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E0C">
        <w:rPr>
          <w:rFonts w:ascii="Times New Roman" w:eastAsia="Calibri" w:hAnsi="Times New Roman" w:cs="Times New Roman"/>
          <w:sz w:val="24"/>
          <w:szCs w:val="24"/>
        </w:rPr>
        <w:t>Срок предоставления гарантии качества на выполненные работы устанавливается со дня подписания Акта сдачи-приемки работ Получателем и должен составлять 12 месяцев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ED0E0C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D0E0C">
        <w:rPr>
          <w:rFonts w:ascii="Times New Roman" w:eastAsia="Calibri" w:hAnsi="Times New Roman" w:cs="Times New Roman"/>
          <w:sz w:val="24"/>
          <w:szCs w:val="24"/>
        </w:rPr>
        <w:t>ртопедические брюки</w:t>
      </w:r>
      <w:r>
        <w:rPr>
          <w:rFonts w:ascii="Times New Roman" w:eastAsia="Calibri" w:hAnsi="Times New Roman" w:cs="Times New Roman"/>
          <w:sz w:val="24"/>
          <w:szCs w:val="24"/>
        </w:rPr>
        <w:t>, 12 месяцев на с</w:t>
      </w:r>
      <w:r w:rsidRPr="00A05A71">
        <w:rPr>
          <w:rFonts w:ascii="Times New Roman" w:eastAsia="Times New Roman" w:hAnsi="Times New Roman" w:cs="Times New Roman"/>
          <w:sz w:val="24"/>
          <w:szCs w:val="24"/>
        </w:rPr>
        <w:t>пец. одежд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05A71">
        <w:rPr>
          <w:rFonts w:ascii="Times New Roman" w:eastAsia="Times New Roman" w:hAnsi="Times New Roman" w:cs="Times New Roman"/>
          <w:sz w:val="24"/>
          <w:szCs w:val="24"/>
        </w:rPr>
        <w:t xml:space="preserve"> для людей с ограниченными возможностями: куртка для использования в кресле - коляске</w:t>
      </w:r>
      <w:r w:rsidRPr="00A05A7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ED0E0C">
        <w:rPr>
          <w:rFonts w:ascii="Times New Roman" w:eastAsia="Calibri" w:hAnsi="Times New Roman" w:cs="Times New Roman"/>
          <w:sz w:val="24"/>
          <w:szCs w:val="24"/>
        </w:rPr>
        <w:t xml:space="preserve"> месяцев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к</w:t>
      </w:r>
      <w:r w:rsidRPr="00ED0E0C">
        <w:rPr>
          <w:rFonts w:ascii="Times New Roman" w:eastAsia="Calibri" w:hAnsi="Times New Roman" w:cs="Times New Roman"/>
          <w:sz w:val="24"/>
          <w:szCs w:val="24"/>
        </w:rPr>
        <w:t>омплект функционально-эстетической одежды для инвалидов с парной ампутацией верхних конечностей.</w:t>
      </w:r>
    </w:p>
    <w:p w:rsidR="00301B0D" w:rsidRPr="00ED0E0C" w:rsidRDefault="00301B0D" w:rsidP="00301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E0C">
        <w:rPr>
          <w:rFonts w:ascii="Times New Roman" w:eastAsia="Calibri" w:hAnsi="Times New Roman" w:cs="Times New Roman"/>
          <w:sz w:val="24"/>
          <w:szCs w:val="24"/>
        </w:rPr>
        <w:t>В течение этого срока предприятие-изготовитель обязано производить замену или ремонт изделия бесплатно.</w:t>
      </w:r>
    </w:p>
    <w:p w:rsidR="00301B0D" w:rsidRPr="00985A13" w:rsidRDefault="00301B0D" w:rsidP="00301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E0C">
        <w:rPr>
          <w:rFonts w:ascii="Times New Roman" w:eastAsia="Calibri" w:hAnsi="Times New Roman" w:cs="Times New Roman"/>
          <w:sz w:val="24"/>
          <w:szCs w:val="24"/>
        </w:rPr>
        <w:t xml:space="preserve">Ремонт, обслуживание, устранение недостатков при обеспечении </w:t>
      </w:r>
      <w:r>
        <w:rPr>
          <w:rFonts w:ascii="Times New Roman" w:eastAsia="Calibri" w:hAnsi="Times New Roman" w:cs="Times New Roman"/>
          <w:sz w:val="24"/>
          <w:szCs w:val="24"/>
        </w:rPr>
        <w:t>получателей</w:t>
      </w:r>
      <w:r w:rsidRPr="00ED0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специальной одеждой</w:t>
      </w:r>
      <w:r w:rsidRPr="00ED0E0C">
        <w:rPr>
          <w:rFonts w:ascii="Times New Roman" w:eastAsia="Calibri" w:hAnsi="Times New Roman" w:cs="Times New Roman"/>
          <w:sz w:val="24"/>
          <w:szCs w:val="24"/>
        </w:rPr>
        <w:t xml:space="preserve"> должно производиться в соответствии с Законом Российской Федерации от 07 февраля 1992 г. № 2300-1 «О защите прав потребителей».</w:t>
      </w:r>
    </w:p>
    <w:p w:rsidR="00301B0D" w:rsidRDefault="00301B0D" w:rsidP="00301B0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33" w:rsidRDefault="00150331">
      <w:pPr>
        <w:pStyle w:val="Standard"/>
        <w:shd w:val="clear" w:color="auto" w:fill="FFFFFF"/>
        <w:tabs>
          <w:tab w:val="left" w:pos="0"/>
        </w:tabs>
        <w:spacing w:line="276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Требования к месту и условиям выполнения работ</w:t>
      </w:r>
    </w:p>
    <w:p w:rsidR="00F83833" w:rsidRDefault="00150331">
      <w:pPr>
        <w:pStyle w:val="af8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выполнения работ: прием получателей (снятие мерок, примерка, подгонка, и т.д.), выдача готовых изделий осуществляется в пунктах выдачи, организованных исполнителем на территории Чувашской Республики, при необходимости – по месту жительства получателя. Изготовление изделий - по месту нахождения Исполнителя.</w:t>
      </w:r>
    </w:p>
    <w:p w:rsidR="00F83833" w:rsidRDefault="00150331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</w:rPr>
        <w:t xml:space="preserve">Срок изготовления изделия: в течение 25-ти дней с даты обращения Получателя к Исполнителю, исключая время ожидания </w:t>
      </w:r>
      <w:r w:rsidR="000B4468">
        <w:rPr>
          <w:rFonts w:ascii="Times New Roman" w:hAnsi="Times New Roman" w:cs="Times New Roman"/>
          <w:color w:val="000000"/>
        </w:rPr>
        <w:t>Получателя</w:t>
      </w:r>
      <w:r>
        <w:rPr>
          <w:rFonts w:ascii="Times New Roman" w:hAnsi="Times New Roman" w:cs="Times New Roman"/>
          <w:color w:val="000000"/>
        </w:rPr>
        <w:t xml:space="preserve"> для по</w:t>
      </w:r>
      <w:r>
        <w:rPr>
          <w:rFonts w:ascii="Times New Roman" w:hAnsi="Times New Roman" w:cs="Times New Roman"/>
          <w:color w:val="000000"/>
          <w:highlight w:val="white"/>
        </w:rPr>
        <w:t>дгонки и примерки.</w:t>
      </w:r>
    </w:p>
    <w:p w:rsidR="00F83833" w:rsidRDefault="00150331">
      <w:pPr>
        <w:pStyle w:val="Textbody"/>
        <w:spacing w:line="276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>Срок  обеспечения</w:t>
      </w:r>
      <w:proofErr w:type="gramEnd"/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  получателя: </w:t>
      </w:r>
      <w:r w:rsidR="000B4468">
        <w:rPr>
          <w:rFonts w:ascii="Times New Roman" w:eastAsia="Times New Roman" w:hAnsi="Times New Roman" w:cs="Times New Roman"/>
          <w:bCs/>
          <w:highlight w:val="white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о  </w:t>
      </w:r>
      <w:r w:rsidR="000B4468">
        <w:rPr>
          <w:rFonts w:ascii="Times New Roman" w:eastAsia="Times New Roman" w:hAnsi="Times New Roman" w:cs="Times New Roman"/>
          <w:bCs/>
          <w:highlight w:val="white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 августа 2025 года</w:t>
      </w:r>
      <w:r w:rsidR="000B4468"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 включительно</w:t>
      </w:r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>.</w:t>
      </w:r>
    </w:p>
    <w:p w:rsidR="00F83833" w:rsidRDefault="00150331">
      <w:pPr>
        <w:pStyle w:val="Textbody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Срок </w:t>
      </w:r>
      <w:proofErr w:type="gramStart"/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>действия</w:t>
      </w:r>
      <w:r w:rsidR="000B4468"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  государственного</w:t>
      </w:r>
      <w:proofErr w:type="gramEnd"/>
      <w:r w:rsidR="000B4468"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 контракта:  п</w:t>
      </w:r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>о 30 сентября 2025 года</w:t>
      </w:r>
      <w:r w:rsidR="000B4468">
        <w:rPr>
          <w:rFonts w:ascii="Times New Roman" w:eastAsia="Times New Roman" w:hAnsi="Times New Roman" w:cs="Times New Roman"/>
          <w:bCs/>
          <w:highlight w:val="white"/>
          <w:lang w:eastAsia="ru-RU"/>
        </w:rPr>
        <w:t xml:space="preserve"> включительно</w:t>
      </w:r>
      <w:r>
        <w:rPr>
          <w:rFonts w:ascii="Times New Roman" w:eastAsia="Times New Roman" w:hAnsi="Times New Roman" w:cs="Times New Roman"/>
          <w:bCs/>
          <w:highlight w:val="white"/>
          <w:lang w:eastAsia="ru-RU"/>
        </w:rPr>
        <w:t>.</w:t>
      </w:r>
    </w:p>
    <w:p w:rsidR="00F83833" w:rsidRDefault="00F83833">
      <w:pPr>
        <w:pStyle w:val="Textbody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83833" w:rsidRDefault="0015033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highlight w:val="white"/>
          <w:lang w:eastAsia="ru-RU" w:bidi="ru-RU"/>
        </w:rPr>
        <w:t>Требования к результатам работ</w:t>
      </w:r>
    </w:p>
    <w:p w:rsidR="00F83833" w:rsidRDefault="00150331">
      <w:pPr>
        <w:widowControl w:val="0"/>
        <w:spacing w:after="0" w:line="220" w:lineRule="atLeas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 CYR" w:hAnsi="Times New Roman" w:cs="Times New Roman"/>
          <w:sz w:val="24"/>
          <w:szCs w:val="24"/>
          <w:highlight w:val="white"/>
          <w:lang w:eastAsia="ru-RU" w:bidi="ru-RU"/>
        </w:rPr>
        <w:t xml:space="preserve">Специальная одежда </w:t>
      </w:r>
      <w:r>
        <w:rPr>
          <w:rFonts w:ascii="Times New Roman" w:eastAsia="Mangal" w:hAnsi="Times New Roman" w:cs="Times New Roman"/>
          <w:bCs/>
          <w:sz w:val="24"/>
          <w:szCs w:val="24"/>
          <w:highlight w:val="white"/>
          <w:lang w:eastAsia="ru-RU" w:bidi="ru-RU"/>
        </w:rPr>
        <w:t xml:space="preserve">для инвалидов </w:t>
      </w:r>
      <w:r>
        <w:rPr>
          <w:rFonts w:ascii="Times New Roman" w:eastAsia="Times New Roman CYR" w:hAnsi="Times New Roman" w:cs="Times New Roman"/>
          <w:sz w:val="24"/>
          <w:szCs w:val="24"/>
          <w:highlight w:val="white"/>
          <w:lang w:eastAsia="ru-RU" w:bidi="ru-RU"/>
        </w:rPr>
        <w:t>обеспечивает незаметность анатомических особенностей фигуры инвалида для окружающих.</w:t>
      </w:r>
    </w:p>
    <w:p w:rsidR="00F83833" w:rsidRDefault="00150331">
      <w:pPr>
        <w:widowControl w:val="0"/>
        <w:spacing w:after="0" w:line="220" w:lineRule="atLeas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 CYR" w:hAnsi="Times New Roman" w:cs="Times New Roman"/>
          <w:sz w:val="24"/>
          <w:szCs w:val="24"/>
          <w:highlight w:val="white"/>
          <w:lang w:eastAsia="ru-RU" w:bidi="ru-RU"/>
        </w:rPr>
        <w:t>Работы по обеспечению инвалидов специальной одеждой должны быть выполнены с надлежащим качеством и в установленные сроки.</w:t>
      </w:r>
    </w:p>
    <w:p w:rsidR="00F83833" w:rsidRDefault="00F83833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F83833" w:rsidRDefault="0015033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пользования изделиями</w:t>
      </w:r>
    </w:p>
    <w:p w:rsidR="00F83833" w:rsidRDefault="0015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пользования Изделием не может быть меньше срока пользования, установленного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83833" w:rsidRDefault="00F83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83833">
      <w:pgSz w:w="16838" w:h="11906" w:orient="landscape"/>
      <w:pgMar w:top="1003" w:right="720" w:bottom="698" w:left="128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33"/>
    <w:rsid w:val="000B4468"/>
    <w:rsid w:val="00150331"/>
    <w:rsid w:val="001D3DAF"/>
    <w:rsid w:val="00301B0D"/>
    <w:rsid w:val="00340AFF"/>
    <w:rsid w:val="00841909"/>
    <w:rsid w:val="00F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5F118-86BD-4460-AC97-AA2ECA19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11">
    <w:name w:val="Гиперссылка1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qFormat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customStyle="1" w:styleId="12">
    <w:name w:val="Замещающий текст1"/>
    <w:uiPriority w:val="99"/>
    <w:semiHidden/>
    <w:qFormat/>
    <w:rPr>
      <w:color w:val="808080"/>
    </w:rPr>
  </w:style>
  <w:style w:type="character" w:customStyle="1" w:styleId="13">
    <w:name w:val="???????? ????? ????1"/>
    <w:qFormat/>
    <w:rPr>
      <w:sz w:val="23"/>
      <w:szCs w:val="23"/>
      <w:lang w:val="ru-RU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f7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pPr>
      <w:spacing w:line="276" w:lineRule="auto"/>
    </w:pPr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4">
    <w:name w:val="Title"/>
    <w:basedOn w:val="a"/>
    <w:link w:val="a3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Mangal"/>
    </w:rPr>
  </w:style>
  <w:style w:type="paragraph" w:styleId="aff1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qFormat/>
    <w:pPr>
      <w:widowControl w:val="0"/>
    </w:pPr>
    <w:rPr>
      <w:rFonts w:ascii="Times New Roman" w:eastAsia="Arial Unicode MS" w:hAnsi="Times New Roman" w:cs="Tahoma"/>
      <w:sz w:val="24"/>
      <w:szCs w:val="24"/>
      <w:lang w:eastAsia="ru-RU"/>
    </w:rPr>
  </w:style>
  <w:style w:type="paragraph" w:customStyle="1" w:styleId="Textbody">
    <w:name w:val="Text body"/>
    <w:basedOn w:val="a"/>
    <w:qFormat/>
    <w:pPr>
      <w:widowControl w:val="0"/>
      <w:spacing w:after="12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C4B2-8DE1-47E0-A41A-E734EFC4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Н.. Шилова</dc:creator>
  <dc:description/>
  <cp:lastModifiedBy>Логинова Юлия Витальевна</cp:lastModifiedBy>
  <cp:revision>18</cp:revision>
  <cp:lastPrinted>2024-11-06T07:17:00Z</cp:lastPrinted>
  <dcterms:created xsi:type="dcterms:W3CDTF">2024-08-16T11:11:00Z</dcterms:created>
  <dcterms:modified xsi:type="dcterms:W3CDTF">2024-11-06T14:23:00Z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