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9E4" w:rsidRP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proofErr w:type="spellStart"/>
      <w:r w:rsidRPr="003E69E4">
        <w:rPr>
          <w:rFonts w:ascii="Times New Roman" w:eastAsia="Times New Roman" w:hAnsi="Times New Roman" w:cs="Times New Roman"/>
          <w:bCs/>
          <w:i/>
          <w:sz w:val="24"/>
          <w:szCs w:val="24"/>
          <w:lang w:val="en-US" w:eastAsia="ru-RU"/>
        </w:rPr>
        <w:t>Приложение</w:t>
      </w:r>
      <w:proofErr w:type="spellEnd"/>
      <w:r w:rsidRPr="003E69E4">
        <w:rPr>
          <w:rFonts w:ascii="Times New Roman" w:eastAsia="Times New Roman" w:hAnsi="Times New Roman" w:cs="Times New Roman"/>
          <w:bCs/>
          <w:i/>
          <w:sz w:val="24"/>
          <w:szCs w:val="24"/>
          <w:lang w:val="en-US" w:eastAsia="ru-RU"/>
        </w:rPr>
        <w:t xml:space="preserve"> №</w:t>
      </w:r>
      <w:r>
        <w:rPr>
          <w:rFonts w:ascii="Times New Roman" w:eastAsia="Times New Roman" w:hAnsi="Times New Roman" w:cs="Times New Roman"/>
          <w:bCs/>
          <w:i/>
          <w:sz w:val="24"/>
          <w:szCs w:val="24"/>
          <w:lang w:eastAsia="ru-RU"/>
        </w:rPr>
        <w:t>1</w:t>
      </w:r>
      <w:r w:rsidRPr="003E69E4">
        <w:rPr>
          <w:rFonts w:ascii="Times New Roman" w:eastAsia="Times New Roman" w:hAnsi="Times New Roman" w:cs="Times New Roman"/>
          <w:bCs/>
          <w:i/>
          <w:sz w:val="24"/>
          <w:szCs w:val="24"/>
          <w:lang w:val="en-US" w:eastAsia="ru-RU"/>
        </w:rPr>
        <w:t xml:space="preserve"> </w:t>
      </w:r>
    </w:p>
    <w:p w:rsid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r w:rsidRPr="003E69E4">
        <w:rPr>
          <w:rFonts w:ascii="Times New Roman" w:eastAsia="Times New Roman" w:hAnsi="Times New Roman" w:cs="Times New Roman"/>
          <w:bCs/>
          <w:i/>
          <w:sz w:val="24"/>
          <w:szCs w:val="24"/>
          <w:lang w:val="en-US" w:eastAsia="ru-RU"/>
        </w:rPr>
        <w:t xml:space="preserve">к </w:t>
      </w:r>
      <w:proofErr w:type="spellStart"/>
      <w:r w:rsidRPr="003E69E4">
        <w:rPr>
          <w:rFonts w:ascii="Times New Roman" w:eastAsia="Times New Roman" w:hAnsi="Times New Roman" w:cs="Times New Roman"/>
          <w:bCs/>
          <w:i/>
          <w:sz w:val="24"/>
          <w:szCs w:val="24"/>
          <w:lang w:val="en-US" w:eastAsia="ru-RU"/>
        </w:rPr>
        <w:t>извещению</w:t>
      </w:r>
      <w:proofErr w:type="spellEnd"/>
      <w:r w:rsidRPr="003E69E4">
        <w:rPr>
          <w:rFonts w:ascii="Times New Roman" w:eastAsia="Times New Roman" w:hAnsi="Times New Roman" w:cs="Times New Roman"/>
          <w:bCs/>
          <w:i/>
          <w:sz w:val="24"/>
          <w:szCs w:val="24"/>
          <w:lang w:val="en-US" w:eastAsia="ru-RU"/>
        </w:rPr>
        <w:t xml:space="preserve"> о </w:t>
      </w:r>
      <w:proofErr w:type="spellStart"/>
      <w:r w:rsidRPr="003E69E4">
        <w:rPr>
          <w:rFonts w:ascii="Times New Roman" w:eastAsia="Times New Roman" w:hAnsi="Times New Roman" w:cs="Times New Roman"/>
          <w:bCs/>
          <w:i/>
          <w:sz w:val="24"/>
          <w:szCs w:val="24"/>
          <w:lang w:val="en-US" w:eastAsia="ru-RU"/>
        </w:rPr>
        <w:t>проведении</w:t>
      </w:r>
      <w:proofErr w:type="spellEnd"/>
      <w:r w:rsidRPr="003E69E4">
        <w:rPr>
          <w:rFonts w:ascii="Times New Roman" w:eastAsia="Times New Roman" w:hAnsi="Times New Roman" w:cs="Times New Roman"/>
          <w:bCs/>
          <w:i/>
          <w:sz w:val="24"/>
          <w:szCs w:val="24"/>
          <w:lang w:val="en-US" w:eastAsia="ru-RU"/>
        </w:rPr>
        <w:t xml:space="preserve"> </w:t>
      </w:r>
      <w:proofErr w:type="spellStart"/>
      <w:r w:rsidRPr="003E69E4">
        <w:rPr>
          <w:rFonts w:ascii="Times New Roman" w:eastAsia="Times New Roman" w:hAnsi="Times New Roman" w:cs="Times New Roman"/>
          <w:bCs/>
          <w:i/>
          <w:sz w:val="24"/>
          <w:szCs w:val="24"/>
          <w:lang w:val="en-US" w:eastAsia="ru-RU"/>
        </w:rPr>
        <w:t>закупки</w:t>
      </w:r>
      <w:proofErr w:type="spellEnd"/>
    </w:p>
    <w:p w:rsidR="003E69E4" w:rsidRP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p>
    <w:p w:rsidR="00922222" w:rsidRPr="00922222" w:rsidRDefault="00922222" w:rsidP="00922222">
      <w:pPr>
        <w:spacing w:after="0" w:line="192" w:lineRule="auto"/>
        <w:jc w:val="center"/>
        <w:rPr>
          <w:rFonts w:ascii="Times New Roman" w:eastAsia="Calibri" w:hAnsi="Times New Roman" w:cs="Times New Roman"/>
          <w:b/>
          <w:sz w:val="24"/>
          <w:szCs w:val="24"/>
          <w:lang w:eastAsia="ru-RU"/>
        </w:rPr>
      </w:pPr>
      <w:r w:rsidRPr="00922222">
        <w:rPr>
          <w:rFonts w:ascii="Times New Roman" w:eastAsia="Calibri" w:hAnsi="Times New Roman" w:cs="Times New Roman"/>
          <w:b/>
          <w:sz w:val="24"/>
          <w:szCs w:val="24"/>
          <w:lang w:eastAsia="ru-RU"/>
        </w:rPr>
        <w:t>Описание объекта закупки (техническое задание)</w:t>
      </w:r>
    </w:p>
    <w:p w:rsidR="00922222" w:rsidRPr="00922222" w:rsidRDefault="00922222" w:rsidP="00922222">
      <w:pPr>
        <w:spacing w:after="247" w:line="192" w:lineRule="auto"/>
        <w:jc w:val="center"/>
        <w:rPr>
          <w:rFonts w:ascii="Times New Roman" w:eastAsia="Times New Roman" w:hAnsi="Times New Roman" w:cs="Times New Roman"/>
          <w:b/>
          <w:color w:val="000000"/>
          <w:sz w:val="24"/>
          <w:szCs w:val="24"/>
          <w:lang w:eastAsia="ru-RU"/>
        </w:rPr>
      </w:pPr>
      <w:r w:rsidRPr="00922222">
        <w:rPr>
          <w:rFonts w:ascii="Times New Roman" w:eastAsia="Times New Roman" w:hAnsi="Times New Roman" w:cs="Times New Roman"/>
          <w:b/>
          <w:color w:val="000000"/>
          <w:sz w:val="24"/>
          <w:szCs w:val="24"/>
          <w:lang w:eastAsia="ru-RU"/>
        </w:rPr>
        <w:t xml:space="preserve">на выполнение работ по изготовлению </w:t>
      </w:r>
      <w:r w:rsidRPr="00922222">
        <w:rPr>
          <w:rFonts w:ascii="Times New Roman" w:eastAsia="Calibri" w:hAnsi="Times New Roman" w:cs="Times New Roman"/>
          <w:b/>
          <w:bCs/>
          <w:sz w:val="24"/>
          <w:szCs w:val="24"/>
        </w:rPr>
        <w:t xml:space="preserve">протезов на нижние конечности </w:t>
      </w:r>
      <w:r w:rsidRPr="00922222">
        <w:rPr>
          <w:rFonts w:ascii="Times New Roman" w:eastAsia="Calibri" w:hAnsi="Times New Roman" w:cs="Times New Roman"/>
          <w:b/>
          <w:sz w:val="24"/>
          <w:szCs w:val="24"/>
          <w:lang w:eastAsia="ru-RU"/>
        </w:rPr>
        <w:t xml:space="preserve">(далее-Изделия) для социального обеспечения граждан </w:t>
      </w:r>
      <w:r w:rsidRPr="00922222">
        <w:rPr>
          <w:rFonts w:ascii="Times New Roman" w:eastAsia="Times New Roman" w:hAnsi="Times New Roman" w:cs="Times New Roman"/>
          <w:b/>
          <w:bCs/>
          <w:sz w:val="24"/>
          <w:szCs w:val="24"/>
          <w:lang w:eastAsia="ru-RU"/>
        </w:rPr>
        <w:t>(далее-Получатели)</w:t>
      </w:r>
      <w:r w:rsidRPr="00922222">
        <w:rPr>
          <w:rFonts w:ascii="Times New Roman" w:eastAsia="Times New Roman" w:hAnsi="Times New Roman" w:cs="Times New Roman"/>
          <w:b/>
          <w:color w:val="000000"/>
          <w:sz w:val="24"/>
          <w:szCs w:val="24"/>
          <w:lang w:eastAsia="ru-RU"/>
        </w:rPr>
        <w:t xml:space="preserve"> в 2025 году </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r w:rsidRPr="00922222">
        <w:rPr>
          <w:rFonts w:ascii="Times New Roman" w:eastAsia="Calibri" w:hAnsi="Times New Roman" w:cs="Times New Roman"/>
          <w:b/>
          <w:sz w:val="24"/>
          <w:szCs w:val="24"/>
          <w:lang w:eastAsia="ru-RU"/>
        </w:rPr>
        <w:t>Срок выполнения работ</w:t>
      </w:r>
      <w:r w:rsidRPr="00922222">
        <w:rPr>
          <w:rFonts w:ascii="Times New Roman" w:eastAsia="Times New Roman" w:hAnsi="Times New Roman" w:cs="Times New Roman"/>
          <w:b/>
          <w:sz w:val="24"/>
          <w:szCs w:val="24"/>
          <w:lang w:eastAsia="ru-RU"/>
        </w:rPr>
        <w:t>:</w:t>
      </w:r>
      <w:r w:rsidRPr="00922222">
        <w:rPr>
          <w:rFonts w:ascii="Times New Roman" w:eastAsia="Times New Roman" w:hAnsi="Times New Roman" w:cs="Times New Roman"/>
          <w:sz w:val="24"/>
          <w:szCs w:val="24"/>
          <w:lang w:eastAsia="ru-RU"/>
        </w:rPr>
        <w:t xml:space="preserve"> со дня, следующего за днем заключения государственного контракта, но не ранее 09.01.2025, и до 31.08.2025 включительно.</w:t>
      </w:r>
    </w:p>
    <w:p w:rsidR="00922222" w:rsidRPr="00922222" w:rsidRDefault="00922222" w:rsidP="00922222">
      <w:pPr>
        <w:spacing w:after="0" w:line="192" w:lineRule="auto"/>
        <w:jc w:val="both"/>
        <w:rPr>
          <w:rFonts w:ascii="Times New Roman" w:eastAsia="Times New Roman" w:hAnsi="Times New Roman" w:cs="Times New Roman"/>
          <w:color w:val="FF0000"/>
          <w:sz w:val="24"/>
          <w:szCs w:val="24"/>
          <w:lang w:eastAsia="ru-RU"/>
        </w:rPr>
      </w:pPr>
      <w:r w:rsidRPr="00922222">
        <w:rPr>
          <w:rFonts w:ascii="Times New Roman" w:eastAsia="Calibri" w:hAnsi="Times New Roman" w:cs="Times New Roman"/>
          <w:b/>
          <w:sz w:val="24"/>
          <w:szCs w:val="24"/>
          <w:lang w:eastAsia="ru-RU"/>
        </w:rPr>
        <w:t xml:space="preserve">Сроки завершения работы: </w:t>
      </w:r>
      <w:r w:rsidRPr="00922222">
        <w:rPr>
          <w:rFonts w:ascii="Times New Roman" w:eastAsia="Times New Roman" w:hAnsi="Times New Roman" w:cs="Times New Roman"/>
          <w:sz w:val="24"/>
          <w:szCs w:val="24"/>
          <w:lang w:eastAsia="ru-RU"/>
        </w:rPr>
        <w:t>до 31.08.2025 года (включительно).</w:t>
      </w:r>
    </w:p>
    <w:p w:rsidR="00922222" w:rsidRPr="00922222" w:rsidRDefault="00922222" w:rsidP="00922222">
      <w:pPr>
        <w:spacing w:after="0" w:line="192" w:lineRule="auto"/>
        <w:jc w:val="both"/>
        <w:rPr>
          <w:rFonts w:ascii="Times New Roman" w:eastAsia="Times New Roman" w:hAnsi="Times New Roman" w:cs="Times New Roman"/>
          <w:lang w:eastAsia="ru-RU"/>
        </w:rPr>
      </w:pPr>
      <w:bookmarkStart w:id="0" w:name="_GoBack"/>
      <w:r w:rsidRPr="00922222">
        <w:rPr>
          <w:rFonts w:ascii="Times New Roman" w:eastAsia="Times New Roman" w:hAnsi="Times New Roman" w:cs="Times New Roman"/>
          <w:b/>
          <w:sz w:val="24"/>
          <w:szCs w:val="24"/>
          <w:lang w:eastAsia="ru-RU"/>
        </w:rPr>
        <w:t>Место выполнения работ:</w:t>
      </w:r>
      <w:r w:rsidRPr="00922222">
        <w:rPr>
          <w:rFonts w:ascii="Times New Roman" w:eastAsia="Times New Roman" w:hAnsi="Times New Roman" w:cs="Times New Roman"/>
          <w:sz w:val="24"/>
          <w:szCs w:val="24"/>
          <w:lang w:eastAsia="ru-RU"/>
        </w:rPr>
        <w:t xml:space="preserve"> Российская Федерация.</w:t>
      </w:r>
    </w:p>
    <w:bookmarkEnd w:id="0"/>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922222" w:rsidRPr="00922222" w:rsidRDefault="00922222" w:rsidP="00922222">
      <w:pPr>
        <w:spacing w:after="0" w:line="240" w:lineRule="auto"/>
        <w:jc w:val="both"/>
        <w:rPr>
          <w:rFonts w:ascii="Times New Roman" w:eastAsia="Times New Roman" w:hAnsi="Times New Roman" w:cs="Times New Roman"/>
          <w:color w:val="000000"/>
          <w:sz w:val="24"/>
          <w:lang w:eastAsia="ru-RU"/>
        </w:rPr>
      </w:pPr>
      <w:r w:rsidRPr="00922222">
        <w:rPr>
          <w:rFonts w:ascii="Times New Roman" w:eastAsia="Times New Roman" w:hAnsi="Times New Roman" w:cs="Times New Roman"/>
          <w:b/>
          <w:sz w:val="24"/>
          <w:szCs w:val="24"/>
          <w:lang w:eastAsia="ru-RU"/>
        </w:rPr>
        <w:t>Максимальное значение цены контракта:</w:t>
      </w:r>
      <w:r w:rsidRPr="00922222">
        <w:rPr>
          <w:rFonts w:ascii="Times New Roman" w:eastAsia="Times New Roman" w:hAnsi="Times New Roman" w:cs="Times New Roman"/>
          <w:sz w:val="24"/>
          <w:szCs w:val="24"/>
          <w:lang w:eastAsia="ru-RU"/>
        </w:rPr>
        <w:t xml:space="preserve"> </w:t>
      </w:r>
      <w:r w:rsidR="00A26681">
        <w:rPr>
          <w:rFonts w:ascii="Times New Roman" w:hAnsi="Times New Roman"/>
          <w:sz w:val="24"/>
          <w:szCs w:val="24"/>
          <w:lang w:eastAsia="ru-RU"/>
        </w:rPr>
        <w:t>50 000 000,00</w:t>
      </w:r>
      <w:r w:rsidRPr="00922222">
        <w:rPr>
          <w:rFonts w:ascii="Times New Roman" w:eastAsia="Times New Roman" w:hAnsi="Times New Roman" w:cs="Times New Roman"/>
          <w:sz w:val="24"/>
          <w:szCs w:val="24"/>
          <w:lang w:eastAsia="ru-RU"/>
        </w:rPr>
        <w:t xml:space="preserve"> руб.</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p>
    <w:p w:rsidR="00922222" w:rsidRPr="00922222" w:rsidRDefault="00922222" w:rsidP="00922222">
      <w:pPr>
        <w:spacing w:after="0" w:line="240" w:lineRule="auto"/>
        <w:ind w:right="-24"/>
        <w:jc w:val="both"/>
        <w:rPr>
          <w:rFonts w:ascii="Times New Roman" w:eastAsia="Times New Roman" w:hAnsi="Times New Roman" w:cs="Times New Roman"/>
          <w:sz w:val="24"/>
          <w:szCs w:val="24"/>
        </w:rPr>
      </w:pPr>
      <w:r w:rsidRPr="00922222">
        <w:rPr>
          <w:rFonts w:ascii="Times New Roman" w:eastAsia="Calibri" w:hAnsi="Times New Roman" w:cs="Times New Roman"/>
          <w:sz w:val="24"/>
          <w:szCs w:val="24"/>
          <w:lang w:eastAsia="ar-SA"/>
        </w:rPr>
        <w:t xml:space="preserve">1. </w:t>
      </w:r>
      <w:r w:rsidRPr="00922222">
        <w:rPr>
          <w:rFonts w:ascii="Times New Roman" w:eastAsia="Times New Roman" w:hAnsi="Times New Roman" w:cs="Times New Roman"/>
          <w:sz w:val="24"/>
          <w:szCs w:val="24"/>
        </w:rPr>
        <w:t>Функциональные, технические и качественные характеристики Изделий.</w:t>
      </w:r>
    </w:p>
    <w:p w:rsidR="00922222" w:rsidRPr="00922222" w:rsidRDefault="00922222" w:rsidP="00922222">
      <w:pPr>
        <w:spacing w:after="34" w:line="192" w:lineRule="auto"/>
        <w:ind w:right="-143"/>
        <w:contextualSpacing/>
        <w:jc w:val="both"/>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1.1. Функциональные и технические характеристики объекта закупки:</w:t>
      </w:r>
    </w:p>
    <w:p w:rsidR="00922222" w:rsidRPr="00922222" w:rsidRDefault="00922222" w:rsidP="00922222">
      <w:pPr>
        <w:spacing w:after="34" w:line="192" w:lineRule="auto"/>
        <w:ind w:right="-143"/>
        <w:contextualSpacing/>
        <w:jc w:val="both"/>
        <w:rPr>
          <w:rFonts w:ascii="Times New Roman" w:eastAsia="Times New Roman" w:hAnsi="Times New Roman" w:cs="Times New Roman"/>
          <w:sz w:val="24"/>
          <w:szCs w:val="24"/>
          <w:lang w:eastAsia="ru-RU"/>
        </w:rPr>
      </w:pPr>
    </w:p>
    <w:tbl>
      <w:tblPr>
        <w:tblW w:w="1036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822"/>
        <w:gridCol w:w="5387"/>
        <w:gridCol w:w="1391"/>
        <w:gridCol w:w="1099"/>
      </w:tblGrid>
      <w:tr w:rsidR="00922222" w:rsidRPr="00922222" w:rsidTr="00DA7A55">
        <w:tc>
          <w:tcPr>
            <w:tcW w:w="670"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w:t>
            </w:r>
          </w:p>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п/п</w:t>
            </w:r>
          </w:p>
        </w:tc>
        <w:tc>
          <w:tcPr>
            <w:tcW w:w="1822" w:type="dxa"/>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Наименование Изделия</w:t>
            </w:r>
          </w:p>
        </w:tc>
        <w:tc>
          <w:tcPr>
            <w:tcW w:w="5387"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Характеристика Изделия</w:t>
            </w:r>
          </w:p>
        </w:tc>
        <w:tc>
          <w:tcPr>
            <w:tcW w:w="1391"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Показатель характеристики</w:t>
            </w:r>
          </w:p>
        </w:tc>
        <w:tc>
          <w:tcPr>
            <w:tcW w:w="1099"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Единица измерения</w:t>
            </w:r>
          </w:p>
        </w:tc>
      </w:tr>
      <w:tr w:rsidR="00922222" w:rsidRPr="00922222" w:rsidTr="00DA7A55">
        <w:tc>
          <w:tcPr>
            <w:tcW w:w="670" w:type="dxa"/>
            <w:shd w:val="clear" w:color="auto" w:fill="auto"/>
          </w:tcPr>
          <w:p w:rsidR="00922222" w:rsidRPr="00922222" w:rsidRDefault="00922222" w:rsidP="00922222">
            <w:pPr>
              <w:spacing w:after="0" w:line="16" w:lineRule="atLeast"/>
              <w:jc w:val="both"/>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1.</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Протез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стопы</w:t>
            </w:r>
          </w:p>
        </w:tc>
        <w:tc>
          <w:tcPr>
            <w:tcW w:w="5387" w:type="dxa"/>
            <w:shd w:val="clear" w:color="auto" w:fill="auto"/>
          </w:tcPr>
          <w:p w:rsidR="00922222" w:rsidRPr="00922222" w:rsidRDefault="00922222" w:rsidP="00922222">
            <w:pPr>
              <w:spacing w:after="0" w:line="192" w:lineRule="auto"/>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Протез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культю</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стопы.</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Приемная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гильза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пробная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слепку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листового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термопласта.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Приемная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гильза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постоянная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слепку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слоистого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пластика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основе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связующих</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смол.</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Вкладной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элемент</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слепку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вспененных</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материалов.</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Стопа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низкопрофильная</w:t>
            </w:r>
            <w:r w:rsidRPr="00922222">
              <w:rPr>
                <w:rFonts w:ascii="Times New Roman" w:eastAsia="Times New Roman" w:hAnsi="Times New Roman" w:cs="Times New Roman"/>
                <w:sz w:val="24"/>
                <w:szCs w:val="24"/>
                <w:lang w:eastAsia="ru-RU"/>
              </w:rPr>
              <w:t xml:space="preserve"> </w:t>
            </w:r>
            <w:proofErr w:type="spellStart"/>
            <w:r w:rsidRPr="00922222">
              <w:rPr>
                <w:rFonts w:ascii="Times New Roman" w:eastAsia="Calibri" w:hAnsi="Times New Roman" w:cs="Times New Roman"/>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и(или) </w:t>
            </w:r>
            <w:proofErr w:type="spellStart"/>
            <w:r w:rsidRPr="00922222">
              <w:rPr>
                <w:rFonts w:ascii="Times New Roman" w:eastAsia="Calibri" w:hAnsi="Times New Roman" w:cs="Times New Roman"/>
                <w:sz w:val="24"/>
                <w:szCs w:val="24"/>
                <w:lang w:eastAsia="ru-RU"/>
              </w:rPr>
              <w:t>бесшарнирная</w:t>
            </w:r>
            <w:proofErr w:type="spellEnd"/>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полиуретановая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Крепление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протеза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использованием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ленты</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«контакт»</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герметизирующим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коленным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бандажом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медицинским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Чехлы</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шерстяные</w:t>
            </w:r>
            <w:r w:rsidRPr="00922222">
              <w:rPr>
                <w:rFonts w:ascii="Times New Roman" w:eastAsia="Times New Roman" w:hAnsi="Times New Roman" w:cs="Times New Roman"/>
                <w:color w:val="000000"/>
                <w:sz w:val="24"/>
                <w:szCs w:val="24"/>
                <w:lang w:eastAsia="ru-RU"/>
              </w:rPr>
              <w:t xml:space="preserve"> и(или) </w:t>
            </w:r>
            <w:r w:rsidRPr="00922222">
              <w:rPr>
                <w:rFonts w:ascii="Times New Roman" w:eastAsia="Calibri" w:hAnsi="Times New Roman" w:cs="Times New Roman"/>
                <w:sz w:val="24"/>
                <w:szCs w:val="24"/>
                <w:lang w:eastAsia="ru-RU"/>
              </w:rPr>
              <w:t>хлопчатобумажные</w:t>
            </w:r>
            <w:r w:rsidRPr="00922222">
              <w:rPr>
                <w:rFonts w:ascii="Times New Roman" w:eastAsia="Times New Roman" w:hAnsi="Times New Roman" w:cs="Times New Roman"/>
                <w:color w:val="000000"/>
                <w:sz w:val="24"/>
                <w:szCs w:val="24"/>
                <w:lang w:eastAsia="ru-RU"/>
              </w:rPr>
              <w:t xml:space="preserve"> и(или) </w:t>
            </w:r>
            <w:r w:rsidRPr="00922222">
              <w:rPr>
                <w:rFonts w:ascii="Times New Roman" w:eastAsia="Calibri" w:hAnsi="Times New Roman" w:cs="Times New Roman"/>
                <w:sz w:val="24"/>
                <w:szCs w:val="24"/>
                <w:lang w:eastAsia="ru-RU"/>
              </w:rPr>
              <w:t>полиамидные</w:t>
            </w:r>
            <w:r w:rsidRPr="00922222">
              <w:rPr>
                <w:rFonts w:ascii="Times New Roman" w:eastAsia="Times New Roman" w:hAnsi="Times New Roman" w:cs="Times New Roman"/>
                <w:sz w:val="24"/>
                <w:szCs w:val="24"/>
                <w:lang w:eastAsia="ru-RU"/>
              </w:rPr>
              <w:t xml:space="preserve"> – 4 </w:t>
            </w:r>
            <w:r w:rsidRPr="00922222">
              <w:rPr>
                <w:rFonts w:ascii="Times New Roman" w:eastAsia="Calibri" w:hAnsi="Times New Roman" w:cs="Times New Roman"/>
                <w:sz w:val="24"/>
                <w:szCs w:val="24"/>
                <w:lang w:eastAsia="ru-RU"/>
              </w:rPr>
              <w:t>шт.</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выбору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Получателя).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Постоянный.</w:t>
            </w:r>
          </w:p>
        </w:tc>
        <w:tc>
          <w:tcPr>
            <w:tcW w:w="1391" w:type="dxa"/>
            <w:shd w:val="clear" w:color="auto" w:fill="auto"/>
          </w:tcPr>
          <w:p w:rsidR="00922222" w:rsidRPr="00922222" w:rsidRDefault="00922222" w:rsidP="00922222">
            <w:pPr>
              <w:spacing w:after="0"/>
              <w:ind w:right="65"/>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6759FA"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Протез бедра для купания</w:t>
            </w:r>
          </w:p>
        </w:tc>
        <w:tc>
          <w:tcPr>
            <w:tcW w:w="5387" w:type="dxa"/>
            <w:shd w:val="clear" w:color="auto" w:fill="auto"/>
          </w:tcPr>
          <w:p w:rsidR="00922222" w:rsidRPr="00922222" w:rsidRDefault="00922222" w:rsidP="00922222">
            <w:pPr>
              <w:tabs>
                <w:tab w:val="center" w:pos="532"/>
                <w:tab w:val="center" w:pos="1850"/>
                <w:tab w:val="center" w:pos="2970"/>
                <w:tab w:val="center" w:pos="4263"/>
              </w:tabs>
              <w:spacing w:after="0" w:line="192" w:lineRule="auto"/>
              <w:ind w:right="33"/>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бедра для </w:t>
            </w:r>
            <w:r w:rsidRPr="00922222">
              <w:rPr>
                <w:rFonts w:ascii="Times New Roman" w:eastAsia="Times New Roman" w:hAnsi="Times New Roman" w:cs="Times New Roman"/>
                <w:color w:val="000000"/>
                <w:sz w:val="24"/>
                <w:szCs w:val="24"/>
                <w:lang w:eastAsia="ru-RU"/>
              </w:rPr>
              <w:tab/>
              <w:t xml:space="preserve">купания. Формообразующая часть облицовки – жесткая полиуретановая (по показаниям).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влагозащищенные. Коленный модуль влагозащищенный одноосный и(или) многоосный, с механическим управлением, облегченный, с функцией ручного замка и(или) с гидравлическим управлением (по показаниям). Стопа влагозащищенная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с рифленой подошвенной поверхностью для обеспечения устойчивости при ходьбе по гладкой и влажной поверхности и(или)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(энергосберегающая) (по показаниям). Крепление влагозащищенное с использованием замка для полимерных чехлов и(или) вакуумное и(или) с бандажом (по медицинским показаниям). Специальный.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6759FA"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голени немодульный, </w:t>
            </w:r>
            <w:r w:rsidRPr="00922222">
              <w:rPr>
                <w:rFonts w:ascii="Times New Roman" w:eastAsia="Times New Roman" w:hAnsi="Times New Roman" w:cs="Times New Roman"/>
                <w:color w:val="000000"/>
                <w:sz w:val="24"/>
                <w:szCs w:val="24"/>
                <w:lang w:eastAsia="ru-RU"/>
              </w:rPr>
              <w:lastRenderedPageBreak/>
              <w:t>в том числе при врожденном недоразвитии</w:t>
            </w:r>
          </w:p>
        </w:tc>
        <w:tc>
          <w:tcPr>
            <w:tcW w:w="5387" w:type="dxa"/>
            <w:shd w:val="clear" w:color="auto" w:fill="auto"/>
          </w:tcPr>
          <w:p w:rsidR="00922222" w:rsidRPr="00922222" w:rsidRDefault="00922222" w:rsidP="00922222">
            <w:pPr>
              <w:spacing w:after="0" w:line="192" w:lineRule="auto"/>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lastRenderedPageBreak/>
              <w:t xml:space="preserve">Протез голени немодульный, в том числе при врожденном недоразвитии, шинно-кожаный. Приемная гильза: индивидуальная кожаная по </w:t>
            </w:r>
            <w:r w:rsidRPr="00922222">
              <w:rPr>
                <w:rFonts w:ascii="Times New Roman" w:eastAsia="Times New Roman" w:hAnsi="Times New Roman" w:cs="Times New Roman"/>
                <w:color w:val="000000"/>
                <w:sz w:val="24"/>
                <w:szCs w:val="24"/>
                <w:lang w:eastAsia="ru-RU"/>
              </w:rPr>
              <w:lastRenderedPageBreak/>
              <w:t xml:space="preserve">слепку (без вкладной гильзы). Регулировочно-соединительные устройства на нагрузку, соответствующую весу Получателя. Стопа шарнирная полиуретановая с регулируемой жёсткостью пятки и сменным задним амортизатором и(или)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и(или) шарнирная полиуретановая монолитная (по показаниям). Крепление протеза с использованием гильзы (манжеты с шинами) бедра, с использованием кожаных полуфабрикатов (без шин). Чехлы шерстяные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6759FA"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4</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немодульный, в том числе при врожденном недоразвитии</w:t>
            </w:r>
          </w:p>
        </w:tc>
        <w:tc>
          <w:tcPr>
            <w:tcW w:w="5387" w:type="dxa"/>
            <w:shd w:val="clear" w:color="auto" w:fill="auto"/>
          </w:tcPr>
          <w:p w:rsidR="00922222" w:rsidRPr="00922222" w:rsidRDefault="00922222" w:rsidP="00922222">
            <w:pPr>
              <w:spacing w:after="0" w:line="192" w:lineRule="auto"/>
              <w:ind w:right="62"/>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бедра немодульный, в том числе при врожденном недоразвитии, шинно-кожаный. Формообразующая часть облицовки – полиуретановая эластичная. Косметическое покрытие облицовки – чулки полиамидные ортопедические. Приемная гильза: индивидуальная кожаная по слепку (без вкладной гильзы). Регулировочно-соединительные устройства на нагрузку, соответствующую весу Получателя. Коленный модуль многоосный, с независимым механическим регулированием фазы сгибания и разгибания и(или) одноосный, замковый (по показаниям). Стопа шарнирная полиуретановая с регулируемой жёсткостью пятки и сменным задним амортизатором и(или)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и(или) шарнирная полиуретановая монолитная (по показаниям). Крепление протеза с использованием кожаных полуфабрикатов.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6759FA"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w:t>
            </w:r>
          </w:p>
        </w:tc>
        <w:tc>
          <w:tcPr>
            <w:tcW w:w="5387" w:type="dxa"/>
            <w:shd w:val="clear" w:color="auto" w:fill="auto"/>
          </w:tcPr>
          <w:p w:rsidR="00922222" w:rsidRPr="00922222" w:rsidRDefault="00922222" w:rsidP="00922222">
            <w:pPr>
              <w:spacing w:after="0" w:line="192" w:lineRule="auto"/>
              <w:ind w:right="65" w:firstLine="142"/>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 низкого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из вспененных материалов и(или) из листового термопласта сверхмягкого (</w:t>
            </w:r>
            <w:proofErr w:type="spellStart"/>
            <w:r w:rsidRPr="00922222">
              <w:rPr>
                <w:rFonts w:ascii="Times New Roman" w:eastAsia="Times New Roman" w:hAnsi="Times New Roman" w:cs="Times New Roman"/>
                <w:color w:val="000000"/>
                <w:sz w:val="24"/>
                <w:szCs w:val="24"/>
                <w:lang w:eastAsia="ru-RU"/>
              </w:rPr>
              <w:t>супрасофта</w:t>
            </w:r>
            <w:proofErr w:type="spellEnd"/>
            <w:r w:rsidRPr="00922222">
              <w:rPr>
                <w:rFonts w:ascii="Times New Roman" w:eastAsia="Times New Roman" w:hAnsi="Times New Roman" w:cs="Times New Roman"/>
                <w:color w:val="000000"/>
                <w:sz w:val="24"/>
                <w:szCs w:val="24"/>
                <w:lang w:eastAsia="ru-RU"/>
              </w:rPr>
              <w:t xml:space="preserve">) и(или) чехол из полимерных материалов (по медицинским показаниям). Регулировочно-соединительные устройства на нагрузку, соответствующую весу Получателя. Коленный модуль многоосный, с независимым механическим регулированием фазы сгибания и разгибания и(или) одноосный, замковый (по показаниям). Стопа шарнирная полиуретановая с регулируемой жёсткостью пятки и сменным задним амортизатором и(или)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и(или) шарнирная полиуретановая монолитная (по показаниям). Крепление протеза с использованием кожаных полуфабрикатов и(или) замка для полимерных чехлов и(или) вакуумное и(или) с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6759FA"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6</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 среднего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с возможностью изменения объема (по медицинским показаниям). Вкладной элемент из вспененных материалов и(или) из листового термопласта сверхмягкого (</w:t>
            </w:r>
            <w:proofErr w:type="spellStart"/>
            <w:r w:rsidRPr="00922222">
              <w:rPr>
                <w:rFonts w:ascii="Times New Roman" w:eastAsia="Times New Roman" w:hAnsi="Times New Roman" w:cs="Times New Roman"/>
                <w:color w:val="000000"/>
                <w:sz w:val="24"/>
                <w:szCs w:val="24"/>
                <w:lang w:eastAsia="ru-RU"/>
              </w:rPr>
              <w:t>супрасофта</w:t>
            </w:r>
            <w:proofErr w:type="spellEnd"/>
            <w:r w:rsidRPr="00922222">
              <w:rPr>
                <w:rFonts w:ascii="Times New Roman" w:eastAsia="Times New Roman" w:hAnsi="Times New Roman" w:cs="Times New Roman"/>
                <w:color w:val="000000"/>
                <w:sz w:val="24"/>
                <w:szCs w:val="24"/>
                <w:lang w:eastAsia="ru-RU"/>
              </w:rPr>
              <w:t xml:space="preserve">) и(или) чехол из полимерных материалов (по медицинским показаниям). Регулировочно-соединительные устройства на нагрузку, соответствующую весу Получателя. Коленный модуль многоосный с независимым пневматическим регулированием фазы сгибания и разгибания и(или) одноосный с пневматическим управлением фазой переноса и механизмом торможения под нагрузкой (по показаниям).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со средним уровнем энергосбережения. Дополнительное регулировочно – соединительное устройство – надколенное поворотное устройство (по показаниям). Крепление с использованием замка для полимерных чехлов и(или) вакуумное и(или) с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6759FA"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 среднего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с возможностью изменения объема (по медицинским показаниям). Вкладной элемент из вспененных материалов и(или) из листового термопласта сверхмягкого (</w:t>
            </w:r>
            <w:proofErr w:type="spellStart"/>
            <w:r w:rsidRPr="00922222">
              <w:rPr>
                <w:rFonts w:ascii="Times New Roman" w:eastAsia="Times New Roman" w:hAnsi="Times New Roman" w:cs="Times New Roman"/>
                <w:color w:val="000000"/>
                <w:sz w:val="24"/>
                <w:szCs w:val="24"/>
                <w:lang w:eastAsia="ru-RU"/>
              </w:rPr>
              <w:t>супрасофта</w:t>
            </w:r>
            <w:proofErr w:type="spellEnd"/>
            <w:r w:rsidRPr="00922222">
              <w:rPr>
                <w:rFonts w:ascii="Times New Roman" w:eastAsia="Times New Roman" w:hAnsi="Times New Roman" w:cs="Times New Roman"/>
                <w:color w:val="000000"/>
                <w:sz w:val="24"/>
                <w:szCs w:val="24"/>
                <w:lang w:eastAsia="ru-RU"/>
              </w:rPr>
              <w:t xml:space="preserve">) и(или) чехол из полимерных материалов (по медицинским показаниям). Регулировочно-соединительные устройства на нагрузку, соответствующую весу Получателя. Коленный модуль многоосный гидравлический с раздельной регулировкой фазы сгибания и разгибания и(или) одноосный гидравлический (по показаниям).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со средним уровнем энергосбережения. Дополнительное регулировочно– соединительное устройство – надколенное поворотное устройство (по показаниям). Крепление с использованием замка для полимерных чехлов и(или) вакуумное и(или) с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6759FA"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бедра модульный, в том числе при </w:t>
            </w:r>
            <w:r w:rsidRPr="00922222">
              <w:rPr>
                <w:rFonts w:ascii="Times New Roman" w:eastAsia="Times New Roman" w:hAnsi="Times New Roman" w:cs="Times New Roman"/>
                <w:color w:val="000000"/>
                <w:sz w:val="24"/>
                <w:szCs w:val="24"/>
                <w:lang w:eastAsia="ru-RU"/>
              </w:rPr>
              <w:lastRenderedPageBreak/>
              <w:t>врожденном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Протез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бедра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модульный,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том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числе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врожденном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недоразвитии,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высокого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уровня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активности.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Формообразующая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часть</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облицовки</w:t>
            </w:r>
            <w:r w:rsidRPr="00922222">
              <w:rPr>
                <w:rFonts w:ascii="Times New Roman" w:eastAsia="Times New Roman" w:hAnsi="Times New Roman" w:cs="Times New Roman"/>
                <w:sz w:val="24"/>
                <w:szCs w:val="24"/>
                <w:lang w:eastAsia="ru-RU"/>
              </w:rPr>
              <w:t xml:space="preserve"> – </w:t>
            </w:r>
            <w:r w:rsidRPr="00922222">
              <w:rPr>
                <w:rFonts w:ascii="Times New Roman" w:eastAsia="Calibri" w:hAnsi="Times New Roman" w:cs="Times New Roman"/>
                <w:sz w:val="24"/>
                <w:szCs w:val="24"/>
                <w:lang w:eastAsia="ru-RU"/>
              </w:rPr>
              <w:t>полиуретановая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эластичная.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Косметическое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покрытие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облицовки</w:t>
            </w:r>
            <w:r w:rsidRPr="00922222">
              <w:rPr>
                <w:rFonts w:ascii="Times New Roman" w:eastAsia="Times New Roman" w:hAnsi="Times New Roman" w:cs="Times New Roman"/>
                <w:sz w:val="24"/>
                <w:szCs w:val="24"/>
                <w:lang w:eastAsia="ru-RU"/>
              </w:rPr>
              <w:t xml:space="preserve"> – </w:t>
            </w:r>
            <w:r w:rsidRPr="00922222">
              <w:rPr>
                <w:rFonts w:ascii="Times New Roman" w:eastAsia="Calibri" w:hAnsi="Times New Roman" w:cs="Times New Roman"/>
                <w:sz w:val="24"/>
                <w:szCs w:val="24"/>
                <w:lang w:eastAsia="ru-RU"/>
              </w:rPr>
              <w:t>чулки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полиамидные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lastRenderedPageBreak/>
              <w:t>ортопедические.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Пробная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приемная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гильза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слепку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листового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термопласта.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Постоянная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приемная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гильза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слепку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слоистого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пластика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основе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связующих</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смол</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возможностью</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изменения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объема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медицинским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Вкладной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элемент</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вспененных</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материалов</w:t>
            </w:r>
            <w:r w:rsidRPr="00922222">
              <w:rPr>
                <w:rFonts w:ascii="Times New Roman" w:eastAsia="Times New Roman" w:hAnsi="Times New Roman" w:cs="Times New Roman"/>
                <w:color w:val="000000"/>
                <w:sz w:val="24"/>
                <w:szCs w:val="24"/>
                <w:lang w:eastAsia="ru-RU"/>
              </w:rPr>
              <w:t xml:space="preserve"> и(или)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листового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термопласта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сверхмягкого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w:t>
            </w:r>
            <w:proofErr w:type="spellStart"/>
            <w:r w:rsidRPr="00922222">
              <w:rPr>
                <w:rFonts w:ascii="Times New Roman" w:eastAsia="Calibri" w:hAnsi="Times New Roman" w:cs="Times New Roman"/>
                <w:sz w:val="24"/>
                <w:szCs w:val="24"/>
                <w:lang w:eastAsia="ru-RU"/>
              </w:rPr>
              <w:t>супрасофта</w:t>
            </w:r>
            <w:proofErr w:type="spellEnd"/>
            <w:r w:rsidRPr="00922222">
              <w:rPr>
                <w:rFonts w:ascii="Times New Roman" w:eastAsia="Calibri" w:hAnsi="Times New Roman" w:cs="Times New Roman"/>
                <w:sz w:val="24"/>
                <w:szCs w:val="24"/>
                <w:lang w:eastAsia="ru-RU"/>
              </w:rPr>
              <w:t>)</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чехол</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из</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полимерных</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материалов</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медицинским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Регулировочно- соединительные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устройства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нагрузку,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соответствующую</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весу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Получателя.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Коленный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модуль</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многоосный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независимым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пневматическим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регулированием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фазы</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сгибания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разгибания</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одноосный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пневматическим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управлением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фазой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переноса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механизмом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торможения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под</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нагрузкой</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Стопа</w:t>
            </w:r>
            <w:r w:rsidRPr="00922222">
              <w:rPr>
                <w:rFonts w:ascii="Times New Roman" w:eastAsia="Times New Roman" w:hAnsi="Times New Roman" w:cs="Times New Roman"/>
                <w:sz w:val="24"/>
                <w:szCs w:val="24"/>
                <w:lang w:eastAsia="ru-RU"/>
              </w:rPr>
              <w:t xml:space="preserve"> </w:t>
            </w:r>
            <w:proofErr w:type="spellStart"/>
            <w:r w:rsidRPr="00922222">
              <w:rPr>
                <w:rFonts w:ascii="Times New Roman" w:eastAsia="Calibri" w:hAnsi="Times New Roman" w:cs="Times New Roman"/>
                <w:sz w:val="24"/>
                <w:szCs w:val="24"/>
                <w:lang w:eastAsia="ru-RU"/>
              </w:rPr>
              <w:t>углепластиковая</w:t>
            </w:r>
            <w:proofErr w:type="spellEnd"/>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высоким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уровнем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энергосбережения,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встроенным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сферическим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торсионным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адаптером</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гидравлическим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голеностопным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шарниром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Дополнительное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регулировочно</w:t>
            </w:r>
            <w:r w:rsidRPr="00922222">
              <w:rPr>
                <w:rFonts w:ascii="Times New Roman" w:eastAsia="Times New Roman" w:hAnsi="Times New Roman" w:cs="Times New Roman"/>
                <w:sz w:val="24"/>
                <w:szCs w:val="24"/>
                <w:lang w:eastAsia="ru-RU"/>
              </w:rPr>
              <w:t>–</w:t>
            </w:r>
            <w:r w:rsidRPr="00922222">
              <w:rPr>
                <w:rFonts w:ascii="Times New Roman" w:eastAsia="Calibri" w:hAnsi="Times New Roman" w:cs="Times New Roman"/>
                <w:sz w:val="24"/>
                <w:szCs w:val="24"/>
                <w:lang w:eastAsia="ru-RU"/>
              </w:rPr>
              <w:t>соединительное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устройство</w:t>
            </w:r>
            <w:r w:rsidRPr="00922222">
              <w:rPr>
                <w:rFonts w:ascii="Times New Roman" w:eastAsia="Times New Roman" w:hAnsi="Times New Roman" w:cs="Times New Roman"/>
                <w:sz w:val="24"/>
                <w:szCs w:val="24"/>
                <w:lang w:eastAsia="ru-RU"/>
              </w:rPr>
              <w:t xml:space="preserve"> – </w:t>
            </w:r>
            <w:r w:rsidRPr="00922222">
              <w:rPr>
                <w:rFonts w:ascii="Times New Roman" w:eastAsia="Calibri" w:hAnsi="Times New Roman" w:cs="Times New Roman"/>
                <w:sz w:val="24"/>
                <w:szCs w:val="24"/>
                <w:lang w:eastAsia="ru-RU"/>
              </w:rPr>
              <w:t>надколенное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поворотное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устройство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Крепление</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использованием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замка</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для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полимерных</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чехлов</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вакуумное</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с</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бандажом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медицинским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показаниям).</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Чехлы</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шерстяные</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хлопчатобумажные</w:t>
            </w:r>
            <w:r w:rsidRPr="00922222">
              <w:rPr>
                <w:rFonts w:ascii="Times New Roman" w:eastAsia="Times New Roman" w:hAnsi="Times New Roman" w:cs="Times New Roman"/>
                <w:color w:val="000000"/>
                <w:sz w:val="24"/>
                <w:szCs w:val="24"/>
                <w:lang w:eastAsia="ru-RU"/>
              </w:rPr>
              <w:t xml:space="preserve"> и(или)</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полиамидные</w:t>
            </w:r>
            <w:r w:rsidRPr="00922222">
              <w:rPr>
                <w:rFonts w:ascii="Times New Roman" w:eastAsia="Times New Roman" w:hAnsi="Times New Roman" w:cs="Times New Roman"/>
                <w:sz w:val="24"/>
                <w:szCs w:val="24"/>
                <w:lang w:eastAsia="ru-RU"/>
              </w:rPr>
              <w:t xml:space="preserve"> – 4 </w:t>
            </w:r>
            <w:r w:rsidRPr="00922222">
              <w:rPr>
                <w:rFonts w:ascii="Times New Roman" w:eastAsia="Calibri" w:hAnsi="Times New Roman" w:cs="Times New Roman"/>
                <w:sz w:val="24"/>
                <w:szCs w:val="24"/>
                <w:lang w:eastAsia="ru-RU"/>
              </w:rPr>
              <w:t>шт.</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выбору</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Получателя).</w:t>
            </w:r>
            <w:r w:rsidRPr="00922222">
              <w:rPr>
                <w:rFonts w:ascii="Times New Roman" w:eastAsia="Times New Roman" w:hAnsi="Times New Roman" w:cs="Times New Roman"/>
                <w:sz w:val="24"/>
                <w:szCs w:val="24"/>
                <w:lang w:eastAsia="ru-RU"/>
              </w:rPr>
              <w:t xml:space="preserve"> </w:t>
            </w:r>
            <w:r w:rsidRPr="00922222">
              <w:rPr>
                <w:rFonts w:ascii="Times New Roman" w:eastAsia="Calibri" w:hAnsi="Times New Roman" w:cs="Times New Roman"/>
                <w:sz w:val="24"/>
                <w:szCs w:val="24"/>
                <w:lang w:eastAsia="ru-RU"/>
              </w:rPr>
              <w:t>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6759FA"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9</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бедра модульный, в том числе при врожденном недоразвитии, высокого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с возможностью изменения объема (по медицинским показаниям). Вкладной элемент из вспененных материалов и(или) из листового термопласта сверхмягкого (</w:t>
            </w:r>
            <w:proofErr w:type="spellStart"/>
            <w:r w:rsidRPr="00922222">
              <w:rPr>
                <w:rFonts w:ascii="Times New Roman" w:eastAsia="Times New Roman" w:hAnsi="Times New Roman" w:cs="Times New Roman"/>
                <w:color w:val="000000"/>
                <w:sz w:val="24"/>
                <w:szCs w:val="24"/>
                <w:lang w:eastAsia="ru-RU"/>
              </w:rPr>
              <w:t>супрасофта</w:t>
            </w:r>
            <w:proofErr w:type="spellEnd"/>
            <w:r w:rsidRPr="00922222">
              <w:rPr>
                <w:rFonts w:ascii="Times New Roman" w:eastAsia="Times New Roman" w:hAnsi="Times New Roman" w:cs="Times New Roman"/>
                <w:color w:val="000000"/>
                <w:sz w:val="24"/>
                <w:szCs w:val="24"/>
                <w:lang w:eastAsia="ru-RU"/>
              </w:rPr>
              <w:t xml:space="preserve">) и(или) чехол из полимерных материалов (по медицинским показаниям). Регулировочно-соединительные устройства на нагрузку, соответствующую весу Получателя. Коленный модуль многоосный гидравлический с раздельной регулировкой фазы сгибания и разгибания и(или) одноосный гидравлический (по показаниям).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 высоким уровнем энергосбережения, со встроенным сферическим торсионным адаптером и(или) с гидравлическим голеностопным шарниром (по показаниям). Дополнительное регулировочно – соединительное устройство – надколенное поворотное устройство (по показаниям). Крепление с использованием замка для полимерных чехлов и(или) вакуумное и(или) с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922222" w:rsidP="006759FA">
            <w:pPr>
              <w:spacing w:after="0" w:line="16" w:lineRule="atLeast"/>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1</w:t>
            </w:r>
            <w:r w:rsidR="006759FA">
              <w:rPr>
                <w:rFonts w:ascii="Times New Roman" w:eastAsia="Calibri" w:hAnsi="Times New Roman" w:cs="Times New Roman"/>
                <w:sz w:val="24"/>
                <w:szCs w:val="24"/>
                <w:lang w:eastAsia="ru-RU"/>
              </w:rPr>
              <w:t>0</w:t>
            </w:r>
            <w:r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при вычленении бедра модульный</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при вычленении бедра модульный. Формообразующая часть облицовки – полиуретановая эластичная. Косметическое покрытие облицовки – чулки полиамидные ортопедические. Пробная приемная гильза по </w:t>
            </w:r>
            <w:r w:rsidRPr="00922222">
              <w:rPr>
                <w:rFonts w:ascii="Times New Roman" w:eastAsia="Times New Roman" w:hAnsi="Times New Roman" w:cs="Times New Roman"/>
                <w:color w:val="000000"/>
                <w:sz w:val="24"/>
                <w:szCs w:val="24"/>
                <w:lang w:eastAsia="ru-RU"/>
              </w:rPr>
              <w:lastRenderedPageBreak/>
              <w:t xml:space="preserve">слепку из листового термопласта. Постоянная приемная гильза по слепку из слоистого пластика на основе связующих смол. Вкладной элемент по слепку из вспененных материалов. Регулировочно-соединительные устройства на нагрузку соответствующую весу Получателя. Коленный модуль с зависимым механическим регулированием фаз сгибания - разгибания, многоосный. Тазобедренный модуль одноосный. Стопа шарнирная полиуретановая с регулируемой жёсткостью пятки и сменным задним амортизатором и(или)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и(или) шарнирная полиуретановая монолитная (по показаниям). Крепление поясное с использованием ленты «контакт».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922222" w:rsidP="006759FA">
            <w:pPr>
              <w:spacing w:after="0" w:line="16" w:lineRule="atLeast"/>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1</w:t>
            </w:r>
            <w:r w:rsidR="006759FA">
              <w:rPr>
                <w:rFonts w:ascii="Times New Roman" w:eastAsia="Calibri" w:hAnsi="Times New Roman" w:cs="Times New Roman"/>
                <w:sz w:val="24"/>
                <w:szCs w:val="24"/>
                <w:lang w:eastAsia="ru-RU"/>
              </w:rPr>
              <w:t>1</w:t>
            </w:r>
            <w:r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при вычленении бедра модульный</w:t>
            </w:r>
          </w:p>
        </w:tc>
        <w:tc>
          <w:tcPr>
            <w:tcW w:w="5387" w:type="dxa"/>
            <w:shd w:val="clear" w:color="auto" w:fill="auto"/>
          </w:tcPr>
          <w:p w:rsidR="00922222" w:rsidRPr="00922222" w:rsidRDefault="00922222" w:rsidP="00922222">
            <w:pPr>
              <w:tabs>
                <w:tab w:val="right" w:pos="4815"/>
              </w:tabs>
              <w:spacing w:after="0" w:line="192" w:lineRule="auto"/>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при вычленении бедра модульный. Формообразующая часть облицовки – полиуретановая эластичная.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по слепку из вспененных материалов. Регулировочно-соединительные устройства на нагрузку, соответствующую весу Получателя. Коленный модуль многоосный, с независимым пневматическим регулированием фазы сгибания и разгибания. Тазобедренный модуль одноосный.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со средним уровнем энергосбережения. Дополнительное регулировочно–соединительное устройство – надколенное поворотное устройство (по показаниям). Крепление поясное с использованием ленты «контакт» через шлевки.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bl>
    <w:p w:rsidR="00922222" w:rsidRPr="00922222" w:rsidRDefault="00922222" w:rsidP="00922222">
      <w:pPr>
        <w:spacing w:after="0" w:line="240" w:lineRule="auto"/>
        <w:ind w:right="-24"/>
        <w:jc w:val="both"/>
        <w:rPr>
          <w:rFonts w:ascii="Times New Roman" w:eastAsia="Calibri" w:hAnsi="Times New Roman" w:cs="Times New Roman"/>
          <w:sz w:val="24"/>
          <w:szCs w:val="24"/>
        </w:rPr>
      </w:pP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Обоснование включения дополнительной информации в сведения о товаре, работе, услуге:</w:t>
      </w:r>
    </w:p>
    <w:p w:rsidR="00922222" w:rsidRPr="00922222" w:rsidRDefault="00922222" w:rsidP="00922222">
      <w:pPr>
        <w:numPr>
          <w:ilvl w:val="0"/>
          <w:numId w:val="1"/>
        </w:numPr>
        <w:spacing w:after="3" w:line="249" w:lineRule="auto"/>
        <w:ind w:left="-142" w:right="-143" w:hanging="10"/>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 Качественные характеристики Изделий.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1.2.1.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1.2.2. Изделия должны соответствовать требованиям государственных стандартов (ГОСТ), действующих на территории Российской Федерации: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ГОСТ ISO 10993-5-2023 «Изделия медицинские. Оценка биологического действия медицинских изделий. Часть 5. Исследования на </w:t>
      </w:r>
      <w:proofErr w:type="spellStart"/>
      <w:r w:rsidRPr="00922222">
        <w:rPr>
          <w:rFonts w:ascii="Times New Roman" w:eastAsia="Times New Roman" w:hAnsi="Times New Roman" w:cs="Times New Roman"/>
          <w:color w:val="000000"/>
          <w:sz w:val="24"/>
          <w:szCs w:val="24"/>
          <w:lang w:eastAsia="ru-RU"/>
        </w:rPr>
        <w:t>цитотоксичность</w:t>
      </w:r>
      <w:proofErr w:type="spellEnd"/>
      <w:r w:rsidRPr="00922222">
        <w:rPr>
          <w:rFonts w:ascii="Times New Roman" w:eastAsia="Times New Roman" w:hAnsi="Times New Roman" w:cs="Times New Roman"/>
          <w:color w:val="000000"/>
          <w:sz w:val="24"/>
          <w:szCs w:val="24"/>
          <w:lang w:eastAsia="ru-RU"/>
        </w:rPr>
        <w:t xml:space="preserve"> методами </w:t>
      </w:r>
      <w:proofErr w:type="spellStart"/>
      <w:r w:rsidRPr="00922222">
        <w:rPr>
          <w:rFonts w:ascii="Times New Roman" w:eastAsia="Times New Roman" w:hAnsi="Times New Roman" w:cs="Times New Roman"/>
          <w:color w:val="000000"/>
          <w:sz w:val="24"/>
          <w:szCs w:val="24"/>
          <w:lang w:eastAsia="ru-RU"/>
        </w:rPr>
        <w:t>in</w:t>
      </w:r>
      <w:proofErr w:type="spellEnd"/>
      <w:r w:rsidRPr="00922222">
        <w:rPr>
          <w:rFonts w:ascii="Times New Roman" w:eastAsia="Times New Roman" w:hAnsi="Times New Roman" w:cs="Times New Roman"/>
          <w:color w:val="000000"/>
          <w:sz w:val="24"/>
          <w:szCs w:val="24"/>
          <w:lang w:eastAsia="ru-RU"/>
        </w:rPr>
        <w:t xml:space="preserve"> </w:t>
      </w:r>
      <w:proofErr w:type="spellStart"/>
      <w:r w:rsidRPr="00922222">
        <w:rPr>
          <w:rFonts w:ascii="Times New Roman" w:eastAsia="Times New Roman" w:hAnsi="Times New Roman" w:cs="Times New Roman"/>
          <w:color w:val="000000"/>
          <w:sz w:val="24"/>
          <w:szCs w:val="24"/>
          <w:lang w:eastAsia="ru-RU"/>
        </w:rPr>
        <w:t>vitro</w:t>
      </w:r>
      <w:proofErr w:type="spellEnd"/>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ISO 10993-10-2023 «Изделия медицинские. Оценка биологического действия медицинских изделий. Часть 10. Исследования сенсибилизирующего действия»;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52770-2023 «Изделия медицинские. Система оценки биологического действия. Общие требования безопасности»;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51632-2021 «Технические средства реабилитации людей с ограничениями жизнедеятельности. Общие технические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 ГОСТ Р 53869-2021 «Протезы нижних конечностей. Технические требования».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Маркировка протезов, а также их упаковка осуществляется с соблюдением требований ГОСТ Р ИСО 22523-2007 «Протезы конечностей и </w:t>
      </w:r>
      <w:proofErr w:type="spellStart"/>
      <w:r w:rsidRPr="00922222">
        <w:rPr>
          <w:rFonts w:ascii="Times New Roman" w:eastAsia="Times New Roman" w:hAnsi="Times New Roman" w:cs="Times New Roman"/>
          <w:color w:val="000000"/>
          <w:sz w:val="24"/>
          <w:szCs w:val="24"/>
          <w:lang w:eastAsia="ru-RU"/>
        </w:rPr>
        <w:t>ортезы</w:t>
      </w:r>
      <w:proofErr w:type="spellEnd"/>
      <w:r w:rsidRPr="00922222">
        <w:rPr>
          <w:rFonts w:ascii="Times New Roman" w:eastAsia="Times New Roman" w:hAnsi="Times New Roman" w:cs="Times New Roman"/>
          <w:color w:val="000000"/>
          <w:sz w:val="24"/>
          <w:szCs w:val="24"/>
          <w:lang w:eastAsia="ru-RU"/>
        </w:rPr>
        <w:t xml:space="preserve"> наружные.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1.2.3.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1.2.4.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1.3. Гарантийный срок на Изделие составляет: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на функциональные части и на </w:t>
      </w:r>
      <w:proofErr w:type="spellStart"/>
      <w:r w:rsidRPr="00922222">
        <w:rPr>
          <w:rFonts w:ascii="Times New Roman" w:eastAsia="Times New Roman" w:hAnsi="Times New Roman" w:cs="Times New Roman"/>
          <w:color w:val="000000"/>
          <w:sz w:val="24"/>
          <w:szCs w:val="24"/>
          <w:lang w:eastAsia="ru-RU"/>
        </w:rPr>
        <w:t>культеприемную</w:t>
      </w:r>
      <w:proofErr w:type="spellEnd"/>
      <w:r w:rsidRPr="00922222">
        <w:rPr>
          <w:rFonts w:ascii="Times New Roman" w:eastAsia="Times New Roman" w:hAnsi="Times New Roman" w:cs="Times New Roman"/>
          <w:color w:val="000000"/>
          <w:sz w:val="24"/>
          <w:szCs w:val="24"/>
          <w:lang w:eastAsia="ru-RU"/>
        </w:rPr>
        <w:t xml:space="preserve"> гильзу индивидуального изготовления не менее 12 (двенадцати) месяцев с даты получения Изделия Получателем.</w:t>
      </w:r>
    </w:p>
    <w:p w:rsidR="00922222" w:rsidRPr="00922222" w:rsidRDefault="00922222" w:rsidP="00922222">
      <w:pPr>
        <w:numPr>
          <w:ilvl w:val="0"/>
          <w:numId w:val="2"/>
        </w:numPr>
        <w:spacing w:after="9"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Исполнитель обязан:</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2.1.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дней со дня обращения Получателя, но не ранее 09.01.2025.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2.2.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 xml:space="preserve">2.3. При работе с Получателями обеспечить соблюдение рекомендаций и санитарно-эпидемиологических требований </w:t>
      </w:r>
      <w:proofErr w:type="spellStart"/>
      <w:r w:rsidRPr="00922222">
        <w:rPr>
          <w:rFonts w:ascii="Times New Roman" w:eastAsia="Calibri" w:hAnsi="Times New Roman" w:cs="Times New Roman"/>
          <w:color w:val="000000"/>
          <w:sz w:val="24"/>
          <w:szCs w:val="24"/>
          <w:lang w:eastAsia="ru-RU"/>
        </w:rPr>
        <w:t>Роспотребнадзора</w:t>
      </w:r>
      <w:proofErr w:type="spellEnd"/>
      <w:r w:rsidRPr="00922222">
        <w:rPr>
          <w:rFonts w:ascii="Times New Roman" w:eastAsia="Calibri" w:hAnsi="Times New Roman" w:cs="Times New Roman"/>
          <w:color w:val="000000"/>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922222">
        <w:rPr>
          <w:rFonts w:ascii="Times New Roman" w:eastAsia="Calibri" w:hAnsi="Times New Roman" w:cs="Times New Roman"/>
          <w:color w:val="000000"/>
          <w:sz w:val="24"/>
          <w:szCs w:val="24"/>
          <w:lang w:eastAsia="ru-RU"/>
        </w:rPr>
        <w:t>коронавирусной</w:t>
      </w:r>
      <w:proofErr w:type="spellEnd"/>
      <w:r w:rsidRPr="00922222">
        <w:rPr>
          <w:rFonts w:ascii="Times New Roman" w:eastAsia="Calibri" w:hAnsi="Times New Roman" w:cs="Times New Roman"/>
          <w:color w:val="000000"/>
          <w:sz w:val="24"/>
          <w:szCs w:val="24"/>
          <w:lang w:eastAsia="ru-RU"/>
        </w:rPr>
        <w:t xml:space="preserve"> инфекции (COVID-19).</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2.4. Обеспечить возможность изготовления Изделий со дня, следующего за днем передачи Исполнителю реестра Получателей, но не ранее 09.01.2025.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2.5.Осуществлять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922222" w:rsidRPr="00922222" w:rsidRDefault="00922222" w:rsidP="00922222">
      <w:pPr>
        <w:spacing w:after="1" w:line="227" w:lineRule="auto"/>
        <w:ind w:left="-142" w:right="-143"/>
        <w:jc w:val="both"/>
        <w:rPr>
          <w:rFonts w:ascii="Times New Roman" w:eastAsia="Calibri"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 xml:space="preserve">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 </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Срок осуществления замены Изделия не должен превышать 15 рабочих дней со дня обращения Получателя (Заказчика).</w:t>
      </w:r>
    </w:p>
    <w:p w:rsidR="00922222" w:rsidRPr="00922222" w:rsidRDefault="00922222" w:rsidP="00922222">
      <w:pPr>
        <w:tabs>
          <w:tab w:val="center" w:pos="2655"/>
          <w:tab w:val="center" w:pos="4276"/>
          <w:tab w:val="center" w:pos="5792"/>
          <w:tab w:val="center" w:pos="7498"/>
          <w:tab w:val="center" w:pos="9015"/>
        </w:tabs>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w:t>
      </w:r>
      <w:r w:rsidRPr="00922222">
        <w:rPr>
          <w:rFonts w:ascii="Times New Roman" w:eastAsia="Times New Roman" w:hAnsi="Times New Roman" w:cs="Times New Roman"/>
          <w:color w:val="000000"/>
          <w:sz w:val="24"/>
          <w:szCs w:val="24"/>
          <w:lang w:eastAsia="ru-RU"/>
        </w:rPr>
        <w:lastRenderedPageBreak/>
        <w:t xml:space="preserve">невозможности осуществления ремонта Изделий в период гарантийного срока Исполнитель должен осуществить замену такого Изделия.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 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2.6. </w:t>
      </w:r>
      <w:r w:rsidRPr="00922222">
        <w:rPr>
          <w:rFonts w:ascii="Times New Roman" w:eastAsia="Calibri" w:hAnsi="Times New Roman" w:cs="Times New Roman"/>
          <w:color w:val="000000"/>
          <w:sz w:val="24"/>
          <w:szCs w:val="24"/>
          <w:lang w:eastAsia="ru-RU"/>
        </w:rPr>
        <w:t xml:space="preserve">Давать справки Получателям по вопросам, связанным с изготовлением Изделий, </w:t>
      </w:r>
      <w:r w:rsidRPr="00922222">
        <w:rPr>
          <w:rFonts w:ascii="Times New Roman" w:eastAsia="Times New Roman" w:hAnsi="Times New Roman" w:cs="Times New Roman"/>
          <w:color w:val="000000"/>
          <w:sz w:val="24"/>
          <w:szCs w:val="24"/>
          <w:lang w:eastAsia="ru-RU"/>
        </w:rPr>
        <w:t>а также осуществлять прием заявок на доставку Изделий по месту нахождения Получателя</w:t>
      </w:r>
      <w:r w:rsidRPr="00922222">
        <w:rPr>
          <w:rFonts w:ascii="Times New Roman" w:eastAsia="Calibri" w:hAnsi="Times New Roman" w:cs="Times New Roman"/>
          <w:color w:val="000000"/>
          <w:sz w:val="24"/>
          <w:szCs w:val="24"/>
          <w:lang w:eastAsia="ru-RU"/>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922222">
        <w:rPr>
          <w:rFonts w:ascii="Times New Roman" w:eastAsia="Times New Roman" w:hAnsi="Times New Roman" w:cs="Times New Roman"/>
          <w:color w:val="000000"/>
          <w:sz w:val="24"/>
          <w:szCs w:val="24"/>
          <w:lang w:eastAsia="ru-RU"/>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sidRPr="00922222">
        <w:rPr>
          <w:rFonts w:ascii="Times New Roman" w:eastAsia="Calibri" w:hAnsi="Times New Roman" w:cs="Times New Roman"/>
          <w:color w:val="000000"/>
          <w:sz w:val="24"/>
          <w:szCs w:val="24"/>
          <w:lang w:eastAsia="ru-RU"/>
        </w:rPr>
        <w:t xml:space="preserve"> и Ленинградской области</w:t>
      </w:r>
      <w:r w:rsidRPr="00922222">
        <w:rPr>
          <w:rFonts w:ascii="Times New Roman" w:eastAsia="Times New Roman" w:hAnsi="Times New Roman" w:cs="Times New Roman"/>
          <w:color w:val="000000"/>
          <w:sz w:val="24"/>
          <w:szCs w:val="24"/>
          <w:lang w:eastAsia="ru-RU"/>
        </w:rPr>
        <w:t xml:space="preserve">; исключается возможность взимания оплаты за звонки Исполнителем.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r w:rsidRPr="00922222">
        <w:rPr>
          <w:rFonts w:ascii="Times New Roman" w:eastAsia="Times New Roman" w:hAnsi="Times New Roman" w:cs="Times New Roman"/>
          <w:color w:val="0563C1"/>
          <w:sz w:val="24"/>
          <w:szCs w:val="24"/>
          <w:u w:val="single" w:color="0563C1"/>
          <w:lang w:eastAsia="ru-RU"/>
        </w:rPr>
        <w:t>osp@ro78.fss.ru</w:t>
      </w:r>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наименование, фирменное наименование (при наличии), место нахождения, почтовый адрес (для юридического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фамилия, имя, отчество (при наличии), паспортные данные, место жительства (для физического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номер контактного телефона;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адрес электронной почты;</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перечень операций, выполняемых соисполнителем в рамках государственного контракта;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срок </w:t>
      </w:r>
      <w:proofErr w:type="spellStart"/>
      <w:r w:rsidRPr="00922222">
        <w:rPr>
          <w:rFonts w:ascii="Times New Roman" w:eastAsia="Times New Roman" w:hAnsi="Times New Roman" w:cs="Times New Roman"/>
          <w:color w:val="000000"/>
          <w:sz w:val="24"/>
          <w:szCs w:val="24"/>
          <w:lang w:eastAsia="ru-RU"/>
        </w:rPr>
        <w:t>соисполнительства</w:t>
      </w:r>
      <w:proofErr w:type="spellEnd"/>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 даты заключения договора между Исполнителем и соисполнителем. При досрочном расторжении договора между Исполнителем и соисполнителем уведомить об этом Заказчика в срок не позднее 1 (одного) рабочего дня с даты расторжения такого договора.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r w:rsidRPr="00922222">
        <w:rPr>
          <w:rFonts w:ascii="Times New Roman" w:eastAsia="Times New Roman" w:hAnsi="Times New Roman" w:cs="Times New Roman"/>
          <w:color w:val="000000"/>
          <w:sz w:val="24"/>
          <w:szCs w:val="24"/>
          <w:u w:val="single" w:color="000000"/>
          <w:lang w:eastAsia="ru-RU"/>
        </w:rPr>
        <w:t>osp@ro78.fss.ru</w:t>
      </w:r>
      <w:r w:rsidRPr="00922222">
        <w:rPr>
          <w:rFonts w:ascii="Times New Roman" w:eastAsia="Times New Roman" w:hAnsi="Times New Roman" w:cs="Times New Roman"/>
          <w:color w:val="000000"/>
          <w:sz w:val="24"/>
          <w:szCs w:val="24"/>
          <w:lang w:eastAsia="ru-RU"/>
        </w:rPr>
        <w:t xml:space="preserve">.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 xml:space="preserve">2.10. В ходе исполнения работ (оказания услуг) по протезированию нижних конечностей обучить Получателя пользованию протезом в соответствии с ГОСТ Р 59542-2021.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В целях подтверждения проведенного обучения исполнитель обязан составить в соответствии с требованиями пункта 4.6. ГОСТ Р 59542-2021 заключение о проведенном курсе обучения и достигнутом медицинском реабилитационном эффекте. Заключение должно быть составлено по форме, доведённой до Исполнителя Заказчиком, в трех экземплярах – один экземпляр предается получателю, второй экземпляр остается у исполнителя, третий экземпляр передается Заказчику с актом приема-передачи Изделия Получателю. </w:t>
      </w:r>
    </w:p>
    <w:p w:rsidR="00922222" w:rsidRPr="00922222" w:rsidRDefault="00922222" w:rsidP="00922222">
      <w:pPr>
        <w:spacing w:after="9"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3. Способ выдачи Изделий</w:t>
      </w:r>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3.1. Исполнитель предоставляет Получателям право выбора способа получения Изделий: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в пункте (пунктах) приема Получателей, организованных Исполнителем.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3.2.В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Изделия согласно условиям Технического задания. Исполнитель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Пункт (пункты)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3.3.Исполнитель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lastRenderedPageBreak/>
        <w:t xml:space="preserve">Входная группа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922222" w:rsidRPr="00922222" w:rsidRDefault="00922222" w:rsidP="00922222">
      <w:pPr>
        <w:spacing w:after="3"/>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Пандус с поручнями (в соответствии с п. 5.1.14 – п. 5.1.16; п. 6.1.2 – п. 6.1.4; п. 6.2.9 – п. 6.2.11 СП </w:t>
      </w:r>
    </w:p>
    <w:p w:rsidR="00922222" w:rsidRPr="00922222" w:rsidRDefault="00922222" w:rsidP="00922222">
      <w:pPr>
        <w:spacing w:after="0"/>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Лестница с поручнями;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Применение для инвалидов вместо пандусов аппарелей не допускается на объекте (в соответствии с п. 6.1.2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Тактильно-контрастные указатели;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Пути движения внутри пункта (пунктов)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Лифт, подъемная платформа, эскалатор (в соответствии с п. 6.2.13 – п. 6.2.18 СП 59.13330.2020).</w:t>
      </w:r>
      <w:r w:rsidRPr="00922222">
        <w:rPr>
          <w:rFonts w:ascii="Times New Roman" w:eastAsia="Times New Roman" w:hAnsi="Times New Roman" w:cs="Times New Roman"/>
          <w:b/>
          <w:color w:val="000000"/>
          <w:sz w:val="24"/>
          <w:szCs w:val="24"/>
          <w:lang w:eastAsia="ru-RU"/>
        </w:rPr>
        <w:t xml:space="preserve">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Лифт должен иметь габариты не менее 1100х1400 мм (ширина х глубина).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Лестницы необходимо обеспечить противоскользящими контрастными полосами общей шириной 0,08-0,1м (в соответствии с п. 6.2.8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Необходимо обеспечить зону досягаемости для посетителей в кресле-коляске в пределах, установленных в соответствии с п. 8.1.7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922222" w:rsidRPr="00922222" w:rsidRDefault="00922222" w:rsidP="00922222">
      <w:pPr>
        <w:spacing w:after="3" w:line="246"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w:t>
      </w:r>
      <w:proofErr w:type="gramStart"/>
      <w:r w:rsidRPr="00922222">
        <w:rPr>
          <w:rFonts w:ascii="Times New Roman" w:eastAsia="Times New Roman" w:hAnsi="Times New Roman" w:cs="Times New Roman"/>
          <w:color w:val="000000"/>
          <w:sz w:val="24"/>
          <w:szCs w:val="24"/>
          <w:lang w:eastAsia="ru-RU"/>
        </w:rPr>
        <w:t>В</w:t>
      </w:r>
      <w:proofErr w:type="gramEnd"/>
      <w:r w:rsidRPr="00922222">
        <w:rPr>
          <w:rFonts w:ascii="Times New Roman" w:eastAsia="Times New Roman" w:hAnsi="Times New Roman" w:cs="Times New Roman"/>
          <w:color w:val="000000"/>
          <w:sz w:val="24"/>
          <w:szCs w:val="24"/>
          <w:lang w:eastAsia="ru-RU"/>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Пути эвакуации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невозможности соблюдения положений ч.15 ст.89</w:t>
      </w:r>
      <w:hyperlink r:id="rId5">
        <w:r w:rsidRPr="00922222">
          <w:rPr>
            <w:rFonts w:ascii="Times New Roman" w:eastAsia="Times New Roman" w:hAnsi="Times New Roman" w:cs="Times New Roman"/>
            <w:color w:val="000000"/>
            <w:sz w:val="24"/>
            <w:szCs w:val="24"/>
            <w:lang w:eastAsia="ru-RU"/>
          </w:rPr>
          <w:t xml:space="preserve"> </w:t>
        </w:r>
      </w:hyperlink>
      <w:hyperlink r:id="rId6">
        <w:r w:rsidRPr="00922222">
          <w:rPr>
            <w:rFonts w:ascii="Times New Roman" w:eastAsia="Times New Roman" w:hAnsi="Times New Roman" w:cs="Times New Roman"/>
            <w:color w:val="000000"/>
            <w:sz w:val="24"/>
            <w:szCs w:val="24"/>
            <w:u w:val="single" w:color="000000"/>
            <w:lang w:eastAsia="ru-RU"/>
          </w:rPr>
          <w:t>Федерального</w:t>
        </w:r>
      </w:hyperlink>
      <w:hyperlink r:id="rId7">
        <w:r w:rsidRPr="00922222">
          <w:rPr>
            <w:rFonts w:ascii="Times New Roman" w:eastAsia="Times New Roman" w:hAnsi="Times New Roman" w:cs="Times New Roman"/>
            <w:color w:val="000000"/>
            <w:sz w:val="24"/>
            <w:szCs w:val="24"/>
            <w:u w:val="single" w:color="000000"/>
            <w:lang w:eastAsia="ru-RU"/>
          </w:rPr>
          <w:t xml:space="preserve"> </w:t>
        </w:r>
      </w:hyperlink>
      <w:hyperlink r:id="rId8">
        <w:r w:rsidRPr="00922222">
          <w:rPr>
            <w:rFonts w:ascii="Times New Roman" w:eastAsia="Times New Roman" w:hAnsi="Times New Roman" w:cs="Times New Roman"/>
            <w:color w:val="000000"/>
            <w:sz w:val="24"/>
            <w:szCs w:val="24"/>
            <w:u w:val="single" w:color="000000"/>
            <w:lang w:eastAsia="ru-RU"/>
          </w:rPr>
          <w:t>закона</w:t>
        </w:r>
      </w:hyperlink>
      <w:hyperlink r:id="rId9">
        <w:r w:rsidRPr="00922222">
          <w:rPr>
            <w:rFonts w:ascii="Times New Roman" w:eastAsia="Times New Roman" w:hAnsi="Times New Roman" w:cs="Times New Roman"/>
            <w:color w:val="000000"/>
            <w:sz w:val="24"/>
            <w:szCs w:val="24"/>
            <w:u w:val="single" w:color="000000"/>
            <w:lang w:eastAsia="ru-RU"/>
          </w:rPr>
          <w:t xml:space="preserve"> </w:t>
        </w:r>
      </w:hyperlink>
      <w:hyperlink r:id="rId10">
        <w:r w:rsidRPr="00922222">
          <w:rPr>
            <w:rFonts w:ascii="Times New Roman" w:eastAsia="Times New Roman" w:hAnsi="Times New Roman" w:cs="Times New Roman"/>
            <w:color w:val="000000"/>
            <w:sz w:val="24"/>
            <w:szCs w:val="24"/>
            <w:u w:val="single" w:color="000000"/>
            <w:lang w:eastAsia="ru-RU"/>
          </w:rPr>
          <w:t>от</w:t>
        </w:r>
      </w:hyperlink>
      <w:hyperlink r:id="rId11">
        <w:r w:rsidRPr="00922222">
          <w:rPr>
            <w:rFonts w:ascii="Times New Roman" w:eastAsia="Times New Roman" w:hAnsi="Times New Roman" w:cs="Times New Roman"/>
            <w:color w:val="000000"/>
            <w:sz w:val="24"/>
            <w:szCs w:val="24"/>
            <w:lang w:eastAsia="ru-RU"/>
          </w:rPr>
          <w:t xml:space="preserve"> </w:t>
        </w:r>
      </w:hyperlink>
      <w:hyperlink r:id="rId12">
        <w:r w:rsidRPr="00922222">
          <w:rPr>
            <w:rFonts w:ascii="Times New Roman" w:eastAsia="Times New Roman" w:hAnsi="Times New Roman" w:cs="Times New Roman"/>
            <w:color w:val="000000"/>
            <w:sz w:val="24"/>
            <w:szCs w:val="24"/>
            <w:u w:val="single" w:color="000000"/>
            <w:lang w:eastAsia="ru-RU"/>
          </w:rPr>
          <w:t>22.07.2008 N 123-</w:t>
        </w:r>
      </w:hyperlink>
      <w:hyperlink r:id="rId13">
        <w:r w:rsidRPr="00922222">
          <w:rPr>
            <w:rFonts w:ascii="Times New Roman" w:eastAsia="Times New Roman" w:hAnsi="Times New Roman" w:cs="Times New Roman"/>
            <w:color w:val="000000"/>
            <w:sz w:val="24"/>
            <w:szCs w:val="24"/>
            <w:u w:val="single" w:color="000000"/>
            <w:lang w:eastAsia="ru-RU"/>
          </w:rPr>
          <w:t>ФЗ</w:t>
        </w:r>
      </w:hyperlink>
      <w:hyperlink r:id="rId14">
        <w:r w:rsidRPr="00922222">
          <w:rPr>
            <w:rFonts w:ascii="Times New Roman" w:eastAsia="Times New Roman" w:hAnsi="Times New Roman" w:cs="Times New Roman"/>
            <w:color w:val="000000"/>
            <w:sz w:val="24"/>
            <w:szCs w:val="24"/>
            <w:u w:val="single" w:color="000000"/>
            <w:lang w:eastAsia="ru-RU"/>
          </w:rPr>
          <w:t xml:space="preserve"> «</w:t>
        </w:r>
      </w:hyperlink>
      <w:hyperlink r:id="rId15">
        <w:r w:rsidRPr="00922222">
          <w:rPr>
            <w:rFonts w:ascii="Times New Roman" w:eastAsia="Times New Roman" w:hAnsi="Times New Roman" w:cs="Times New Roman"/>
            <w:color w:val="000000"/>
            <w:sz w:val="24"/>
            <w:szCs w:val="24"/>
            <w:u w:val="single" w:color="000000"/>
            <w:lang w:eastAsia="ru-RU"/>
          </w:rPr>
          <w:t>Технический</w:t>
        </w:r>
      </w:hyperlink>
      <w:hyperlink r:id="rId16">
        <w:r w:rsidRPr="00922222">
          <w:rPr>
            <w:rFonts w:ascii="Times New Roman" w:eastAsia="Times New Roman" w:hAnsi="Times New Roman" w:cs="Times New Roman"/>
            <w:color w:val="000000"/>
            <w:sz w:val="24"/>
            <w:szCs w:val="24"/>
            <w:u w:val="single" w:color="000000"/>
            <w:lang w:eastAsia="ru-RU"/>
          </w:rPr>
          <w:t xml:space="preserve"> </w:t>
        </w:r>
      </w:hyperlink>
      <w:hyperlink r:id="rId17">
        <w:r w:rsidRPr="00922222">
          <w:rPr>
            <w:rFonts w:ascii="Times New Roman" w:eastAsia="Times New Roman" w:hAnsi="Times New Roman" w:cs="Times New Roman"/>
            <w:color w:val="000000"/>
            <w:sz w:val="24"/>
            <w:szCs w:val="24"/>
            <w:u w:val="single" w:color="000000"/>
            <w:lang w:eastAsia="ru-RU"/>
          </w:rPr>
          <w:t>регламент</w:t>
        </w:r>
      </w:hyperlink>
      <w:hyperlink r:id="rId18">
        <w:r w:rsidRPr="00922222">
          <w:rPr>
            <w:rFonts w:ascii="Times New Roman" w:eastAsia="Times New Roman" w:hAnsi="Times New Roman" w:cs="Times New Roman"/>
            <w:color w:val="000000"/>
            <w:sz w:val="24"/>
            <w:szCs w:val="24"/>
            <w:u w:val="single" w:color="000000"/>
            <w:lang w:eastAsia="ru-RU"/>
          </w:rPr>
          <w:t xml:space="preserve"> </w:t>
        </w:r>
      </w:hyperlink>
      <w:hyperlink r:id="rId19">
        <w:r w:rsidRPr="00922222">
          <w:rPr>
            <w:rFonts w:ascii="Times New Roman" w:eastAsia="Times New Roman" w:hAnsi="Times New Roman" w:cs="Times New Roman"/>
            <w:color w:val="000000"/>
            <w:sz w:val="24"/>
            <w:szCs w:val="24"/>
            <w:u w:val="single" w:color="000000"/>
            <w:lang w:eastAsia="ru-RU"/>
          </w:rPr>
          <w:t>о</w:t>
        </w:r>
      </w:hyperlink>
      <w:hyperlink r:id="rId20">
        <w:r w:rsidRPr="00922222">
          <w:rPr>
            <w:rFonts w:ascii="Times New Roman" w:eastAsia="Times New Roman" w:hAnsi="Times New Roman" w:cs="Times New Roman"/>
            <w:color w:val="000000"/>
            <w:sz w:val="24"/>
            <w:szCs w:val="24"/>
            <w:u w:val="single" w:color="000000"/>
            <w:lang w:eastAsia="ru-RU"/>
          </w:rPr>
          <w:t xml:space="preserve"> </w:t>
        </w:r>
      </w:hyperlink>
      <w:hyperlink r:id="rId21">
        <w:r w:rsidRPr="00922222">
          <w:rPr>
            <w:rFonts w:ascii="Times New Roman" w:eastAsia="Times New Roman" w:hAnsi="Times New Roman" w:cs="Times New Roman"/>
            <w:color w:val="000000"/>
            <w:sz w:val="24"/>
            <w:szCs w:val="24"/>
            <w:u w:val="single" w:color="000000"/>
            <w:lang w:eastAsia="ru-RU"/>
          </w:rPr>
          <w:t>требованиях</w:t>
        </w:r>
      </w:hyperlink>
      <w:hyperlink r:id="rId22">
        <w:r w:rsidRPr="00922222">
          <w:rPr>
            <w:rFonts w:ascii="Times New Roman" w:eastAsia="Times New Roman" w:hAnsi="Times New Roman" w:cs="Times New Roman"/>
            <w:color w:val="000000"/>
            <w:sz w:val="24"/>
            <w:szCs w:val="24"/>
            <w:u w:val="single" w:color="000000"/>
            <w:lang w:eastAsia="ru-RU"/>
          </w:rPr>
          <w:t xml:space="preserve"> </w:t>
        </w:r>
      </w:hyperlink>
      <w:hyperlink r:id="rId23">
        <w:r w:rsidRPr="00922222">
          <w:rPr>
            <w:rFonts w:ascii="Times New Roman" w:eastAsia="Times New Roman" w:hAnsi="Times New Roman" w:cs="Times New Roman"/>
            <w:color w:val="000000"/>
            <w:sz w:val="24"/>
            <w:szCs w:val="24"/>
            <w:u w:val="single" w:color="000000"/>
            <w:lang w:eastAsia="ru-RU"/>
          </w:rPr>
          <w:t>пожарной</w:t>
        </w:r>
      </w:hyperlink>
      <w:hyperlink r:id="rId24">
        <w:r w:rsidRPr="00922222">
          <w:rPr>
            <w:rFonts w:ascii="Times New Roman" w:eastAsia="Times New Roman" w:hAnsi="Times New Roman" w:cs="Times New Roman"/>
            <w:color w:val="000000"/>
            <w:sz w:val="24"/>
            <w:szCs w:val="24"/>
            <w:lang w:eastAsia="ru-RU"/>
          </w:rPr>
          <w:t xml:space="preserve"> </w:t>
        </w:r>
      </w:hyperlink>
      <w:hyperlink r:id="rId25">
        <w:r w:rsidRPr="00922222">
          <w:rPr>
            <w:rFonts w:ascii="Times New Roman" w:eastAsia="Times New Roman" w:hAnsi="Times New Roman" w:cs="Times New Roman"/>
            <w:color w:val="000000"/>
            <w:sz w:val="24"/>
            <w:szCs w:val="24"/>
            <w:u w:val="single" w:color="000000"/>
            <w:lang w:eastAsia="ru-RU"/>
          </w:rPr>
          <w:t>безопасности</w:t>
        </w:r>
      </w:hyperlink>
      <w:r w:rsidRPr="00922222">
        <w:rPr>
          <w:rFonts w:ascii="Times New Roman" w:eastAsia="Times New Roman" w:hAnsi="Times New Roman" w:cs="Times New Roman"/>
          <w:color w:val="000000"/>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Пути эвакуации помещений пункта (пунктов) приема должны обеспечивать безопасность посетителей в соответствии с п.6.2.19-п.6.2.32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Обеспечить систему двухсторонней связи с диспетчером или дежурным (в соответствии с п. 6.5.8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возможность беспрепятственного входа в объекты и выхода из них;</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922222">
        <w:rPr>
          <w:rFonts w:ascii="Times New Roman" w:eastAsia="Times New Roman" w:hAnsi="Times New Roman" w:cs="Times New Roman"/>
          <w:color w:val="000000"/>
          <w:sz w:val="24"/>
          <w:szCs w:val="24"/>
          <w:lang w:eastAsia="ru-RU"/>
        </w:rPr>
        <w:t>ассистивных</w:t>
      </w:r>
      <w:proofErr w:type="spellEnd"/>
      <w:r w:rsidRPr="00922222">
        <w:rPr>
          <w:rFonts w:ascii="Times New Roman" w:eastAsia="Times New Roman" w:hAnsi="Times New Roman" w:cs="Times New Roman"/>
          <w:color w:val="000000"/>
          <w:sz w:val="24"/>
          <w:szCs w:val="24"/>
          <w:lang w:eastAsia="ru-RU"/>
        </w:rPr>
        <w:t xml:space="preserve"> и вспомогательных технологий, а также сменного кресла-коляски;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сопровождение получателей, имеющих стойкие нарушения функции зрения и самостоятельного передвижения по территории объекта;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содействие получателю при входе в объект и выходе из него, информирование инвалида о доступных маршрутах общественного транспорта;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час. до 22:00 час.</w:t>
      </w:r>
    </w:p>
    <w:p w:rsidR="00922222" w:rsidRPr="00922222" w:rsidRDefault="00922222" w:rsidP="00922222">
      <w:pPr>
        <w:spacing w:after="3" w:line="254"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212121"/>
          <w:sz w:val="24"/>
          <w:szCs w:val="24"/>
          <w:lang w:eastAsia="ru-RU"/>
        </w:rPr>
        <w:t xml:space="preserve">3.10. Заказчик вправе предоставить </w:t>
      </w:r>
      <w:r w:rsidRPr="00922222">
        <w:rPr>
          <w:rFonts w:ascii="Times New Roman" w:eastAsia="Times New Roman" w:hAnsi="Times New Roman" w:cs="Times New Roman"/>
          <w:color w:val="000000"/>
          <w:sz w:val="24"/>
          <w:szCs w:val="24"/>
          <w:lang w:eastAsia="ru-RU"/>
        </w:rPr>
        <w:t xml:space="preserve">Исполнителю </w:t>
      </w:r>
      <w:r w:rsidRPr="00922222">
        <w:rPr>
          <w:rFonts w:ascii="Times New Roman" w:eastAsia="Times New Roman" w:hAnsi="Times New Roman" w:cs="Times New Roman"/>
          <w:color w:val="212121"/>
          <w:sz w:val="24"/>
          <w:szCs w:val="24"/>
          <w:lang w:eastAsia="ru-RU"/>
        </w:rPr>
        <w:t xml:space="preserve">без взимания платы помещение для организации пункта приема Получателей. Исполнитель обязан организовать выдачу Изделий в предложенном пункте приема.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4. 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до 21:00 часов не менее 5 (пяти) дней в неделю по предварительной записи по телефону, предоставленному Заказчику, не позднее 1 (одного) рабочего дня с даты заключения государственного контракта, но не ранее 09.01.2025. Доставка осуществляется за счет средств Исполнителя.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5.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922222">
        <w:rPr>
          <w:rFonts w:ascii="Times New Roman" w:eastAsia="Times New Roman" w:hAnsi="Times New Roman" w:cs="Times New Roman"/>
          <w:color w:val="000000"/>
          <w:sz w:val="24"/>
          <w:szCs w:val="24"/>
          <w:lang w:eastAsia="ru-RU"/>
        </w:rPr>
        <w:t>фотофиксацию</w:t>
      </w:r>
      <w:proofErr w:type="spellEnd"/>
      <w:r w:rsidRPr="00922222">
        <w:rPr>
          <w:rFonts w:ascii="Times New Roman" w:eastAsia="Times New Roman" w:hAnsi="Times New Roman" w:cs="Times New Roman"/>
          <w:color w:val="000000"/>
          <w:sz w:val="24"/>
          <w:szCs w:val="24"/>
          <w:lang w:eastAsia="ru-RU"/>
        </w:rPr>
        <w:t xml:space="preserve"> и/или видеозапись.</w:t>
      </w:r>
    </w:p>
    <w:p w:rsidR="00304BB6" w:rsidRDefault="00922222" w:rsidP="00922222">
      <w:pPr>
        <w:spacing w:after="3" w:line="249" w:lineRule="auto"/>
        <w:ind w:left="-142" w:right="-143"/>
        <w:jc w:val="both"/>
      </w:pPr>
      <w:r w:rsidRPr="00922222">
        <w:rPr>
          <w:rFonts w:ascii="Times New Roman" w:eastAsia="Times New Roman" w:hAnsi="Times New Roman" w:cs="Times New Roman"/>
          <w:color w:val="000000"/>
          <w:sz w:val="24"/>
          <w:szCs w:val="24"/>
          <w:lang w:eastAsia="ru-RU"/>
        </w:rPr>
        <w:t>6.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w:t>
      </w:r>
    </w:p>
    <w:sectPr w:rsidR="00304BB6">
      <w:footnotePr>
        <w:numFmt w:val="chicago"/>
      </w:footnotePr>
      <w:pgSz w:w="11906" w:h="16838"/>
      <w:pgMar w:top="1134"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A3516"/>
    <w:multiLevelType w:val="hybridMultilevel"/>
    <w:tmpl w:val="8D64AD0E"/>
    <w:lvl w:ilvl="0" w:tplc="96140264">
      <w:start w:val="1"/>
      <w:numFmt w:val="bullet"/>
      <w:lvlText w:val="-"/>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68B68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DA842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F0BAE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723CC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54DAA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6429A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E08D7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A8473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5EA51D7C"/>
    <w:multiLevelType w:val="multilevel"/>
    <w:tmpl w:val="681C6232"/>
    <w:lvl w:ilvl="0">
      <w:start w:val="2"/>
      <w:numFmt w:val="decimal"/>
      <w:lvlText w:val="%1."/>
      <w:lvlJc w:val="left"/>
      <w:pPr>
        <w:ind w:left="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22"/>
    <w:rsid w:val="00261180"/>
    <w:rsid w:val="003E69E4"/>
    <w:rsid w:val="004424AE"/>
    <w:rsid w:val="006759FA"/>
    <w:rsid w:val="00740548"/>
    <w:rsid w:val="008E0768"/>
    <w:rsid w:val="00922222"/>
    <w:rsid w:val="00A26681"/>
    <w:rsid w:val="00A606FF"/>
    <w:rsid w:val="00E30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ED690-2061-4CD3-8C42-F5ADB1F3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922222"/>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9"/>
    <w:qFormat/>
    <w:rsid w:val="00922222"/>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92222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922222"/>
    <w:pPr>
      <w:keepNext/>
      <w:overflowPunct w:val="0"/>
      <w:autoSpaceDE w:val="0"/>
      <w:autoSpaceDN w:val="0"/>
      <w:adjustRightInd w:val="0"/>
      <w:spacing w:before="240" w:after="120" w:line="240" w:lineRule="auto"/>
      <w:textAlignment w:val="baseline"/>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92222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92222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92222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922222"/>
    <w:rPr>
      <w:rFonts w:ascii="Times New Roman" w:eastAsia="Calibri" w:hAnsi="Times New Roman" w:cs="Times New Roman"/>
      <w:b/>
      <w:bCs/>
      <w:sz w:val="28"/>
      <w:szCs w:val="28"/>
      <w:lang w:eastAsia="ru-RU"/>
    </w:rPr>
  </w:style>
  <w:style w:type="numbering" w:customStyle="1" w:styleId="12">
    <w:name w:val="Нет списка1"/>
    <w:next w:val="a2"/>
    <w:uiPriority w:val="99"/>
    <w:semiHidden/>
    <w:unhideWhenUsed/>
    <w:rsid w:val="00922222"/>
  </w:style>
  <w:style w:type="character" w:customStyle="1" w:styleId="11">
    <w:name w:val="Заголовок 1 Знак1"/>
    <w:link w:val="1"/>
    <w:uiPriority w:val="9"/>
    <w:rsid w:val="00922222"/>
    <w:rPr>
      <w:rFonts w:ascii="Calibri Light" w:eastAsia="Times New Roman" w:hAnsi="Calibri Light" w:cs="Times New Roman"/>
      <w:b/>
      <w:bCs/>
      <w:kern w:val="32"/>
      <w:sz w:val="32"/>
      <w:szCs w:val="32"/>
      <w:lang w:eastAsia="ru-RU"/>
    </w:rPr>
  </w:style>
  <w:style w:type="paragraph" w:styleId="a3">
    <w:name w:val="List"/>
    <w:basedOn w:val="a4"/>
    <w:rsid w:val="00922222"/>
    <w:rPr>
      <w:rFonts w:cs="Tahoma"/>
      <w:sz w:val="20"/>
      <w:szCs w:val="20"/>
      <w:lang w:eastAsia="ar-SA"/>
    </w:rPr>
  </w:style>
  <w:style w:type="paragraph" w:styleId="a4">
    <w:name w:val="Body Text"/>
    <w:basedOn w:val="a"/>
    <w:link w:val="a5"/>
    <w:rsid w:val="00922222"/>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922222"/>
    <w:rPr>
      <w:rFonts w:ascii="Times New Roman" w:eastAsia="Calibri" w:hAnsi="Times New Roman" w:cs="Times New Roman"/>
      <w:sz w:val="24"/>
      <w:szCs w:val="24"/>
      <w:lang w:eastAsia="ru-RU"/>
    </w:rPr>
  </w:style>
  <w:style w:type="paragraph" w:styleId="a6">
    <w:name w:val="Normal (Web)"/>
    <w:basedOn w:val="a"/>
    <w:link w:val="a7"/>
    <w:uiPriority w:val="99"/>
    <w:rsid w:val="00922222"/>
    <w:pPr>
      <w:spacing w:before="100" w:after="119" w:line="240" w:lineRule="auto"/>
    </w:pPr>
    <w:rPr>
      <w:rFonts w:ascii="Times New Roman" w:eastAsia="Calibri" w:hAnsi="Times New Roman" w:cs="Times New Roman"/>
      <w:sz w:val="24"/>
      <w:szCs w:val="20"/>
      <w:lang w:eastAsia="ar-SA"/>
    </w:rPr>
  </w:style>
  <w:style w:type="character" w:customStyle="1" w:styleId="a7">
    <w:name w:val="Обычный (веб) Знак"/>
    <w:link w:val="a6"/>
    <w:uiPriority w:val="99"/>
    <w:locked/>
    <w:rsid w:val="00922222"/>
    <w:rPr>
      <w:rFonts w:ascii="Times New Roman" w:eastAsia="Calibri" w:hAnsi="Times New Roman" w:cs="Times New Roman"/>
      <w:sz w:val="24"/>
      <w:szCs w:val="20"/>
      <w:lang w:eastAsia="ar-SA"/>
    </w:rPr>
  </w:style>
  <w:style w:type="paragraph" w:styleId="21">
    <w:name w:val="Body Text Indent 2"/>
    <w:basedOn w:val="a"/>
    <w:link w:val="22"/>
    <w:semiHidden/>
    <w:rsid w:val="00922222"/>
    <w:pPr>
      <w:spacing w:after="0" w:line="240" w:lineRule="auto"/>
      <w:ind w:firstLine="144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922222"/>
    <w:rPr>
      <w:rFonts w:ascii="Times New Roman" w:eastAsia="Times New Roman" w:hAnsi="Times New Roman" w:cs="Times New Roman"/>
      <w:sz w:val="24"/>
      <w:szCs w:val="24"/>
      <w:lang w:eastAsia="ru-RU"/>
    </w:rPr>
  </w:style>
  <w:style w:type="character" w:styleId="a8">
    <w:name w:val="Hyperlink"/>
    <w:basedOn w:val="a0"/>
    <w:uiPriority w:val="99"/>
    <w:rsid w:val="00922222"/>
    <w:rPr>
      <w:rFonts w:cs="Times New Roman"/>
      <w:color w:val="0000FF"/>
      <w:u w:val="single"/>
    </w:rPr>
  </w:style>
  <w:style w:type="paragraph" w:styleId="31">
    <w:name w:val="Body Text Indent 3"/>
    <w:basedOn w:val="a"/>
    <w:link w:val="32"/>
    <w:semiHidden/>
    <w:rsid w:val="00922222"/>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semiHidden/>
    <w:rsid w:val="00922222"/>
    <w:rPr>
      <w:rFonts w:ascii="Times New Roman" w:eastAsia="Times New Roman" w:hAnsi="Times New Roman" w:cs="Times New Roman"/>
      <w:sz w:val="24"/>
      <w:szCs w:val="24"/>
      <w:lang w:eastAsia="ru-RU"/>
    </w:rPr>
  </w:style>
  <w:style w:type="paragraph" w:customStyle="1" w:styleId="a9">
    <w:name w:val="Заголовок таблицы"/>
    <w:basedOn w:val="a"/>
    <w:uiPriority w:val="99"/>
    <w:rsid w:val="0092222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a">
    <w:name w:val="Основной шрифт"/>
    <w:uiPriority w:val="99"/>
    <w:rsid w:val="00922222"/>
  </w:style>
  <w:style w:type="character" w:customStyle="1" w:styleId="HTMLPreformattedChar">
    <w:name w:val="HTML Preformatted Char"/>
    <w:uiPriority w:val="99"/>
    <w:locked/>
    <w:rsid w:val="00922222"/>
    <w:rPr>
      <w:rFonts w:ascii="Courier New" w:hAnsi="Courier New"/>
    </w:rPr>
  </w:style>
  <w:style w:type="paragraph" w:styleId="HTML">
    <w:name w:val="HTML Preformatted"/>
    <w:basedOn w:val="a"/>
    <w:link w:val="HTML0"/>
    <w:uiPriority w:val="99"/>
    <w:rsid w:val="00922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922222"/>
    <w:rPr>
      <w:rFonts w:ascii="Courier New" w:eastAsia="Calibri" w:hAnsi="Courier New" w:cs="Times New Roman"/>
      <w:sz w:val="20"/>
      <w:szCs w:val="20"/>
      <w:lang w:eastAsia="ru-RU"/>
    </w:rPr>
  </w:style>
  <w:style w:type="character" w:customStyle="1" w:styleId="HTML1">
    <w:name w:val="Стандартный HTML Знак1"/>
    <w:basedOn w:val="a0"/>
    <w:uiPriority w:val="99"/>
    <w:semiHidden/>
    <w:rsid w:val="00922222"/>
    <w:rPr>
      <w:rFonts w:ascii="Consolas" w:hAnsi="Consolas" w:cs="Consolas"/>
      <w:sz w:val="20"/>
      <w:szCs w:val="20"/>
      <w:lang w:eastAsia="ru-RU"/>
    </w:rPr>
  </w:style>
  <w:style w:type="character" w:styleId="ab">
    <w:name w:val="Strong"/>
    <w:basedOn w:val="a0"/>
    <w:uiPriority w:val="99"/>
    <w:qFormat/>
    <w:rsid w:val="00922222"/>
    <w:rPr>
      <w:rFonts w:cs="Times New Roman"/>
      <w:b/>
      <w:bCs/>
    </w:rPr>
  </w:style>
  <w:style w:type="paragraph" w:styleId="ac">
    <w:name w:val="Balloon Text"/>
    <w:basedOn w:val="a"/>
    <w:link w:val="ad"/>
    <w:uiPriority w:val="99"/>
    <w:semiHidden/>
    <w:rsid w:val="00922222"/>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922222"/>
    <w:rPr>
      <w:rFonts w:ascii="Tahoma" w:eastAsia="Calibri" w:hAnsi="Tahoma" w:cs="Tahoma"/>
      <w:sz w:val="16"/>
      <w:szCs w:val="16"/>
      <w:lang w:eastAsia="ru-RU"/>
    </w:rPr>
  </w:style>
  <w:style w:type="character" w:customStyle="1" w:styleId="s0">
    <w:name w:val="s0"/>
    <w:basedOn w:val="a0"/>
    <w:uiPriority w:val="99"/>
    <w:rsid w:val="00922222"/>
    <w:rPr>
      <w:rFonts w:ascii="Times New Roman" w:hAnsi="Times New Roman" w:cs="Times New Roman"/>
      <w:color w:val="000000"/>
      <w:sz w:val="20"/>
      <w:szCs w:val="20"/>
      <w:u w:val="none"/>
      <w:effect w:val="none"/>
    </w:rPr>
  </w:style>
  <w:style w:type="paragraph" w:customStyle="1" w:styleId="Standard">
    <w:name w:val="Standard"/>
    <w:uiPriority w:val="99"/>
    <w:rsid w:val="00922222"/>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Textbody">
    <w:name w:val="Text body"/>
    <w:basedOn w:val="Standard"/>
    <w:uiPriority w:val="99"/>
    <w:rsid w:val="00922222"/>
    <w:pPr>
      <w:spacing w:line="260" w:lineRule="atLeast"/>
      <w:jc w:val="center"/>
    </w:pPr>
    <w:rPr>
      <w:b/>
      <w:bCs/>
    </w:rPr>
  </w:style>
  <w:style w:type="table" w:styleId="ae">
    <w:name w:val="Table Grid"/>
    <w:basedOn w:val="a1"/>
    <w:uiPriority w:val="39"/>
    <w:rsid w:val="0092222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922222"/>
    <w:rPr>
      <w:rFonts w:ascii="Courier New" w:hAnsi="Courier New"/>
    </w:rPr>
  </w:style>
  <w:style w:type="character" w:styleId="af">
    <w:name w:val="Emphasis"/>
    <w:basedOn w:val="a0"/>
    <w:uiPriority w:val="99"/>
    <w:qFormat/>
    <w:rsid w:val="00922222"/>
    <w:rPr>
      <w:i/>
    </w:rPr>
  </w:style>
  <w:style w:type="paragraph" w:styleId="af0">
    <w:name w:val="header"/>
    <w:basedOn w:val="a"/>
    <w:link w:val="af1"/>
    <w:uiPriority w:val="99"/>
    <w:unhideWhenUsed/>
    <w:rsid w:val="00922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1">
    <w:name w:val="Верхний колонтитул Знак"/>
    <w:basedOn w:val="a0"/>
    <w:link w:val="af0"/>
    <w:uiPriority w:val="99"/>
    <w:rsid w:val="00922222"/>
    <w:rPr>
      <w:rFonts w:ascii="Times New Roman" w:eastAsia="Calibri" w:hAnsi="Times New Roman" w:cs="Times New Roman"/>
      <w:sz w:val="24"/>
      <w:szCs w:val="24"/>
      <w:lang w:eastAsia="ru-RU"/>
    </w:rPr>
  </w:style>
  <w:style w:type="paragraph" w:styleId="af2">
    <w:name w:val="footer"/>
    <w:basedOn w:val="a"/>
    <w:link w:val="af3"/>
    <w:uiPriority w:val="99"/>
    <w:unhideWhenUsed/>
    <w:rsid w:val="00922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922222"/>
    <w:rPr>
      <w:rFonts w:ascii="Times New Roman" w:eastAsia="Calibri" w:hAnsi="Times New Roman" w:cs="Times New Roman"/>
      <w:sz w:val="24"/>
      <w:szCs w:val="24"/>
      <w:lang w:eastAsia="ru-RU"/>
    </w:rPr>
  </w:style>
  <w:style w:type="paragraph" w:customStyle="1" w:styleId="Style4">
    <w:name w:val="Style4"/>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922222"/>
    <w:rPr>
      <w:rFonts w:ascii="Times New Roman" w:hAnsi="Times New Roman" w:cs="Times New Roman"/>
      <w:b/>
      <w:bCs/>
      <w:sz w:val="26"/>
      <w:szCs w:val="26"/>
    </w:rPr>
  </w:style>
  <w:style w:type="paragraph" w:customStyle="1" w:styleId="Style2">
    <w:name w:val="Style2"/>
    <w:basedOn w:val="a"/>
    <w:uiPriority w:val="99"/>
    <w:rsid w:val="00922222"/>
    <w:pPr>
      <w:widowControl w:val="0"/>
      <w:autoSpaceDE w:val="0"/>
      <w:autoSpaceDN w:val="0"/>
      <w:adjustRightInd w:val="0"/>
      <w:spacing w:after="0" w:line="322" w:lineRule="exact"/>
      <w:ind w:firstLine="379"/>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922222"/>
    <w:rPr>
      <w:rFonts w:ascii="Times New Roman" w:hAnsi="Times New Roman" w:cs="Times New Roman"/>
      <w:sz w:val="26"/>
      <w:szCs w:val="26"/>
    </w:rPr>
  </w:style>
  <w:style w:type="paragraph" w:customStyle="1" w:styleId="Style1">
    <w:name w:val="Style1"/>
    <w:basedOn w:val="a"/>
    <w:uiPriority w:val="99"/>
    <w:rsid w:val="00922222"/>
    <w:pPr>
      <w:widowControl w:val="0"/>
      <w:autoSpaceDE w:val="0"/>
      <w:autoSpaceDN w:val="0"/>
      <w:adjustRightInd w:val="0"/>
      <w:spacing w:after="0" w:line="348"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92222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styleId="af4">
    <w:name w:val="footnote text"/>
    <w:basedOn w:val="a"/>
    <w:link w:val="af5"/>
    <w:uiPriority w:val="99"/>
    <w:semiHidden/>
    <w:unhideWhenUsed/>
    <w:rsid w:val="00922222"/>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922222"/>
    <w:rPr>
      <w:rFonts w:ascii="Times New Roman" w:eastAsia="Times New Roman" w:hAnsi="Times New Roman" w:cs="Times New Roman"/>
      <w:sz w:val="20"/>
      <w:szCs w:val="20"/>
      <w:lang w:eastAsia="ru-RU"/>
    </w:rPr>
  </w:style>
  <w:style w:type="character" w:styleId="af6">
    <w:name w:val="footnote reference"/>
    <w:uiPriority w:val="99"/>
    <w:unhideWhenUsed/>
    <w:rsid w:val="00922222"/>
    <w:rPr>
      <w:vertAlign w:val="superscript"/>
    </w:rPr>
  </w:style>
  <w:style w:type="character" w:customStyle="1" w:styleId="13">
    <w:name w:val="Просмотренная гиперссылка1"/>
    <w:basedOn w:val="a0"/>
    <w:uiPriority w:val="99"/>
    <w:semiHidden/>
    <w:unhideWhenUsed/>
    <w:locked/>
    <w:rsid w:val="00922222"/>
    <w:rPr>
      <w:color w:val="800080"/>
      <w:u w:val="single"/>
    </w:rPr>
  </w:style>
  <w:style w:type="paragraph" w:customStyle="1" w:styleId="af7">
    <w:name w:val="Базовый"/>
    <w:uiPriority w:val="99"/>
    <w:rsid w:val="00922222"/>
    <w:pPr>
      <w:tabs>
        <w:tab w:val="left" w:pos="706"/>
      </w:tabs>
      <w:suppressAutoHyphens/>
      <w:spacing w:after="0" w:line="200" w:lineRule="atLeast"/>
    </w:pPr>
    <w:rPr>
      <w:rFonts w:ascii="Times New Roman" w:eastAsia="Times New Roman" w:hAnsi="Times New Roman" w:cs="Tahoma"/>
      <w:sz w:val="24"/>
      <w:szCs w:val="24"/>
      <w:lang w:eastAsia="zh-CN" w:bidi="hi-IN"/>
    </w:rPr>
  </w:style>
  <w:style w:type="paragraph" w:styleId="af8">
    <w:name w:val="Body Text Indent"/>
    <w:basedOn w:val="a"/>
    <w:link w:val="af9"/>
    <w:uiPriority w:val="99"/>
    <w:unhideWhenUsed/>
    <w:rsid w:val="00922222"/>
    <w:pPr>
      <w:spacing w:after="120" w:line="240" w:lineRule="auto"/>
      <w:ind w:left="283"/>
    </w:pPr>
    <w:rPr>
      <w:rFonts w:ascii="Times New Roman" w:eastAsia="Calibri" w:hAnsi="Times New Roman" w:cs="Times New Roman"/>
      <w:sz w:val="24"/>
      <w:szCs w:val="24"/>
      <w:lang w:eastAsia="ru-RU"/>
    </w:rPr>
  </w:style>
  <w:style w:type="character" w:customStyle="1" w:styleId="af9">
    <w:name w:val="Основной текст с отступом Знак"/>
    <w:basedOn w:val="a0"/>
    <w:link w:val="af8"/>
    <w:uiPriority w:val="99"/>
    <w:rsid w:val="00922222"/>
    <w:rPr>
      <w:rFonts w:ascii="Times New Roman" w:eastAsia="Calibri" w:hAnsi="Times New Roman" w:cs="Times New Roman"/>
      <w:sz w:val="24"/>
      <w:szCs w:val="24"/>
      <w:lang w:eastAsia="ru-RU"/>
    </w:rPr>
  </w:style>
  <w:style w:type="numbering" w:customStyle="1" w:styleId="110">
    <w:name w:val="Нет списка11"/>
    <w:next w:val="a2"/>
    <w:uiPriority w:val="99"/>
    <w:semiHidden/>
    <w:unhideWhenUsed/>
    <w:rsid w:val="00922222"/>
  </w:style>
  <w:style w:type="paragraph" w:customStyle="1" w:styleId="Web">
    <w:name w:val="Обычный (Web)"/>
    <w:basedOn w:val="a"/>
    <w:uiPriority w:val="99"/>
    <w:rsid w:val="00922222"/>
    <w:pPr>
      <w:suppressAutoHyphens/>
      <w:spacing w:before="280" w:after="280" w:line="240" w:lineRule="auto"/>
    </w:pPr>
    <w:rPr>
      <w:rFonts w:ascii="Arial Unicode MS" w:eastAsia="Arial Unicode MS" w:hAnsi="Arial Unicode MS" w:cs="Arial Unicode MS"/>
      <w:sz w:val="24"/>
      <w:szCs w:val="24"/>
      <w:lang w:eastAsia="ar-SA"/>
    </w:rPr>
  </w:style>
  <w:style w:type="numbering" w:customStyle="1" w:styleId="24">
    <w:name w:val="Нет списка2"/>
    <w:next w:val="a2"/>
    <w:uiPriority w:val="99"/>
    <w:semiHidden/>
    <w:unhideWhenUsed/>
    <w:rsid w:val="00922222"/>
  </w:style>
  <w:style w:type="paragraph" w:customStyle="1" w:styleId="14">
    <w:name w:val="Абзац списка1"/>
    <w:basedOn w:val="a"/>
    <w:rsid w:val="00922222"/>
    <w:pPr>
      <w:spacing w:after="200" w:line="276" w:lineRule="auto"/>
      <w:ind w:left="720"/>
      <w:contextualSpacing/>
    </w:pPr>
    <w:rPr>
      <w:rFonts w:ascii="Calibri" w:eastAsia="Times New Roman" w:hAnsi="Calibri" w:cs="Times New Roman"/>
    </w:rPr>
  </w:style>
  <w:style w:type="paragraph" w:customStyle="1" w:styleId="15">
    <w:name w:val="Подпись рисунка1"/>
    <w:basedOn w:val="a"/>
    <w:next w:val="afa"/>
    <w:link w:val="afb"/>
    <w:uiPriority w:val="34"/>
    <w:qFormat/>
    <w:rsid w:val="00922222"/>
    <w:pPr>
      <w:ind w:left="720"/>
      <w:contextualSpacing/>
    </w:pPr>
  </w:style>
  <w:style w:type="paragraph" w:styleId="afc">
    <w:name w:val="No Spacing"/>
    <w:uiPriority w:val="1"/>
    <w:qFormat/>
    <w:rsid w:val="00922222"/>
    <w:pPr>
      <w:spacing w:after="0" w:line="240" w:lineRule="auto"/>
    </w:pPr>
    <w:rPr>
      <w:rFonts w:ascii="Times New Roman" w:eastAsia="Calibri" w:hAnsi="Times New Roman" w:cs="Times New Roman"/>
      <w:sz w:val="24"/>
      <w:szCs w:val="24"/>
      <w:lang w:eastAsia="ru-RU"/>
    </w:rPr>
  </w:style>
  <w:style w:type="character" w:customStyle="1" w:styleId="afb">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15"/>
    <w:uiPriority w:val="34"/>
    <w:qFormat/>
    <w:rsid w:val="00922222"/>
    <w:rPr>
      <w:rFonts w:ascii="Calibri" w:eastAsia="Calibri" w:hAnsi="Calibri" w:cs="Times New Roman"/>
      <w:lang w:eastAsia="en-US"/>
    </w:rPr>
  </w:style>
  <w:style w:type="numbering" w:customStyle="1" w:styleId="33">
    <w:name w:val="Нет списка3"/>
    <w:next w:val="a2"/>
    <w:uiPriority w:val="99"/>
    <w:semiHidden/>
    <w:unhideWhenUsed/>
    <w:rsid w:val="00922222"/>
  </w:style>
  <w:style w:type="paragraph" w:customStyle="1" w:styleId="footnotedescription">
    <w:name w:val="footnote description"/>
    <w:next w:val="a"/>
    <w:link w:val="footnotedescriptionChar"/>
    <w:hidden/>
    <w:rsid w:val="00922222"/>
    <w:pPr>
      <w:spacing w:after="0"/>
      <w:ind w:left="141"/>
      <w:jc w:val="center"/>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922222"/>
    <w:rPr>
      <w:rFonts w:ascii="Times New Roman" w:eastAsia="Times New Roman" w:hAnsi="Times New Roman" w:cs="Times New Roman"/>
      <w:color w:val="000000"/>
      <w:sz w:val="20"/>
      <w:lang w:eastAsia="ru-RU"/>
    </w:rPr>
  </w:style>
  <w:style w:type="character" w:customStyle="1" w:styleId="footnotemark">
    <w:name w:val="footnote mark"/>
    <w:hidden/>
    <w:rsid w:val="00922222"/>
    <w:rPr>
      <w:rFonts w:ascii="Times New Roman" w:eastAsia="Times New Roman" w:hAnsi="Times New Roman" w:cs="Times New Roman"/>
      <w:color w:val="000000"/>
      <w:sz w:val="25"/>
      <w:vertAlign w:val="superscript"/>
    </w:rPr>
  </w:style>
  <w:style w:type="table" w:customStyle="1" w:styleId="TableGrid">
    <w:name w:val="TableGrid"/>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ng-binding">
    <w:name w:val="ng-binding"/>
    <w:basedOn w:val="a0"/>
    <w:rsid w:val="00922222"/>
  </w:style>
  <w:style w:type="paragraph" w:customStyle="1" w:styleId="headertext">
    <w:name w:val="headertext"/>
    <w:basedOn w:val="a"/>
    <w:rsid w:val="00922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92222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922222"/>
  </w:style>
  <w:style w:type="table" w:customStyle="1" w:styleId="TableGrid1">
    <w:name w:val="TableGrid1"/>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5">
    <w:name w:val="Нет списка5"/>
    <w:next w:val="a2"/>
    <w:uiPriority w:val="99"/>
    <w:semiHidden/>
    <w:unhideWhenUsed/>
    <w:rsid w:val="00922222"/>
  </w:style>
  <w:style w:type="table" w:customStyle="1" w:styleId="TableGrid2">
    <w:name w:val="TableGrid2"/>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d">
    <w:name w:val="FollowedHyperlink"/>
    <w:basedOn w:val="a0"/>
    <w:uiPriority w:val="99"/>
    <w:semiHidden/>
    <w:unhideWhenUsed/>
    <w:rsid w:val="00922222"/>
    <w:rPr>
      <w:color w:val="954F72" w:themeColor="followedHyperlink"/>
      <w:u w:val="single"/>
    </w:rPr>
  </w:style>
  <w:style w:type="paragraph" w:styleId="afa">
    <w:name w:val="List Paragraph"/>
    <w:basedOn w:val="a"/>
    <w:uiPriority w:val="34"/>
    <w:qFormat/>
    <w:rsid w:val="00922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http://docs.cntd.ru/document/542620598" TargetMode="External"/><Relationship Id="rId18" Type="http://schemas.openxmlformats.org/officeDocument/2006/relationships/hyperlink" Target="http://docs.cntd.ru/document/54262059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542620598" TargetMode="External"/><Relationship Id="rId7" Type="http://schemas.openxmlformats.org/officeDocument/2006/relationships/hyperlink" Target="http://docs.cntd.ru/document/542620598" TargetMode="External"/><Relationship Id="rId12" Type="http://schemas.openxmlformats.org/officeDocument/2006/relationships/hyperlink" Target="http://docs.cntd.ru/document/542620598" TargetMode="External"/><Relationship Id="rId17" Type="http://schemas.openxmlformats.org/officeDocument/2006/relationships/hyperlink" Target="http://docs.cntd.ru/document/542620598" TargetMode="External"/><Relationship Id="rId25" Type="http://schemas.openxmlformats.org/officeDocument/2006/relationships/hyperlink" Target="http://docs.cntd.ru/document/542620598" TargetMode="External"/><Relationship Id="rId2" Type="http://schemas.openxmlformats.org/officeDocument/2006/relationships/styles" Target="styles.xml"/><Relationship Id="rId16" Type="http://schemas.openxmlformats.org/officeDocument/2006/relationships/hyperlink" Target="http://docs.cntd.ru/document/542620598" TargetMode="External"/><Relationship Id="rId20" Type="http://schemas.openxmlformats.org/officeDocument/2006/relationships/hyperlink" Target="http://docs.cntd.ru/document/542620598" TargetMode="External"/><Relationship Id="rId1" Type="http://schemas.openxmlformats.org/officeDocument/2006/relationships/numbering" Target="numbering.xml"/><Relationship Id="rId6" Type="http://schemas.openxmlformats.org/officeDocument/2006/relationships/hyperlink" Target="http://docs.cntd.ru/document/542620598" TargetMode="External"/><Relationship Id="rId11" Type="http://schemas.openxmlformats.org/officeDocument/2006/relationships/hyperlink" Target="http://docs.cntd.ru/document/542620598" TargetMode="External"/><Relationship Id="rId24" Type="http://schemas.openxmlformats.org/officeDocument/2006/relationships/hyperlink" Target="http://docs.cntd.ru/document/542620598" TargetMode="External"/><Relationship Id="rId5" Type="http://schemas.openxmlformats.org/officeDocument/2006/relationships/hyperlink" Target="http://docs.cntd.ru/document/542620598" TargetMode="External"/><Relationship Id="rId15" Type="http://schemas.openxmlformats.org/officeDocument/2006/relationships/hyperlink" Target="http://docs.cntd.ru/document/542620598" TargetMode="External"/><Relationship Id="rId23" Type="http://schemas.openxmlformats.org/officeDocument/2006/relationships/hyperlink" Target="http://docs.cntd.ru/document/542620598" TargetMode="External"/><Relationship Id="rId10" Type="http://schemas.openxmlformats.org/officeDocument/2006/relationships/hyperlink" Target="http://docs.cntd.ru/document/542620598" TargetMode="External"/><Relationship Id="rId19" Type="http://schemas.openxmlformats.org/officeDocument/2006/relationships/hyperlink" Target="http://docs.cntd.ru/document/542620598" TargetMode="External"/><Relationship Id="rId4" Type="http://schemas.openxmlformats.org/officeDocument/2006/relationships/webSettings" Target="webSettings.xml"/><Relationship Id="rId9" Type="http://schemas.openxmlformats.org/officeDocument/2006/relationships/hyperlink" Target="http://docs.cntd.ru/document/542620598" TargetMode="External"/><Relationship Id="rId14" Type="http://schemas.openxmlformats.org/officeDocument/2006/relationships/hyperlink" Target="http://docs.cntd.ru/document/542620598" TargetMode="External"/><Relationship Id="rId22" Type="http://schemas.openxmlformats.org/officeDocument/2006/relationships/hyperlink" Target="http://docs.cntd.ru/document/54262059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5375</Words>
  <Characters>30639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8</cp:revision>
  <dcterms:created xsi:type="dcterms:W3CDTF">2024-10-11T07:35:00Z</dcterms:created>
  <dcterms:modified xsi:type="dcterms:W3CDTF">2024-12-04T07:59:00Z</dcterms:modified>
</cp:coreProperties>
</file>