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40" w:before="0" w:after="0"/>
        <w:jc w:val="right"/>
        <w:rPr>
          <w:rFonts w:ascii="Times New Roman" w:hAnsi="Times New Roman"/>
        </w:rPr>
      </w:pPr>
      <w:r>
        <w:rPr>
          <w:rFonts w:cs="Times New Roman" w:ascii="Times New Roman" w:hAnsi="Times New Roman"/>
          <w:b w:val="false"/>
          <w:bCs w:val="false"/>
          <w:sz w:val="20"/>
          <w:szCs w:val="20"/>
        </w:rPr>
        <w:t>Приложение №3 к извещению</w:t>
      </w:r>
    </w:p>
    <w:p>
      <w:pPr>
        <w:pStyle w:val="Normal"/>
        <w:spacing w:lineRule="atLeast" w:line="240" w:before="0" w:after="0"/>
        <w:jc w:val="right"/>
        <w:rPr>
          <w:rFonts w:ascii="Times New Roman" w:hAnsi="Times New Roman"/>
        </w:rPr>
      </w:pPr>
      <w:r>
        <w:rPr>
          <w:rFonts w:eastAsia="Times New Roman" w:cs="Times New Roman" w:ascii="Times New Roman" w:hAnsi="Times New Roman"/>
          <w:b w:val="false"/>
          <w:bCs w:val="false"/>
          <w:sz w:val="20"/>
          <w:szCs w:val="20"/>
        </w:rPr>
        <w:t xml:space="preserve"> </w:t>
      </w:r>
      <w:r>
        <w:rPr>
          <w:rFonts w:eastAsia="Times New Roman" w:cs="Times New Roman" w:ascii="Times New Roman" w:hAnsi="Times New Roman"/>
          <w:b w:val="false"/>
          <w:bCs w:val="false"/>
          <w:sz w:val="20"/>
          <w:szCs w:val="20"/>
        </w:rPr>
        <w:t>о проведении электронного аукциона</w:t>
      </w:r>
    </w:p>
    <w:p>
      <w:pPr>
        <w:pStyle w:val="Normal"/>
        <w:spacing w:lineRule="auto" w:line="240" w:before="0" w:after="240"/>
        <w:jc w:val="center"/>
        <w:rPr>
          <w:rFonts w:ascii="Times New Roman" w:hAnsi="Times New Roman"/>
        </w:rPr>
      </w:pPr>
      <w:r>
        <w:rPr>
          <w:rFonts w:ascii="Times New Roman" w:hAnsi="Times New Roman"/>
        </w:rPr>
      </w:r>
    </w:p>
    <w:p>
      <w:pPr>
        <w:pStyle w:val="Normal"/>
        <w:spacing w:lineRule="auto" w:line="240" w:before="0" w:after="240"/>
        <w:jc w:val="center"/>
        <w:rPr>
          <w:rFonts w:ascii="Times New Roman" w:hAnsi="Times New Roman"/>
        </w:rPr>
      </w:pPr>
      <w:r>
        <w:rPr>
          <w:rFonts w:eastAsia="Times New Roman" w:cs="Times New Roman" w:ascii="Times New Roman" w:hAnsi="Times New Roman"/>
          <w:b/>
          <w:bCs/>
          <w:sz w:val="28"/>
          <w:szCs w:val="28"/>
        </w:rPr>
        <w:t>Наименование и описание объекта закупки</w:t>
      </w:r>
    </w:p>
    <w:p>
      <w:pPr>
        <w:pStyle w:val="Normal"/>
        <w:jc w:val="center"/>
        <w:rPr>
          <w:rFonts w:ascii="Times New Roman" w:hAnsi="Times New Roman"/>
          <w:sz w:val="24"/>
          <w:szCs w:val="24"/>
        </w:rPr>
      </w:pPr>
      <w:r>
        <w:rPr>
          <w:rFonts w:ascii="Times New Roman" w:hAnsi="Times New Roman"/>
          <w:b/>
          <w:color w:val="000000"/>
          <w:sz w:val="24"/>
          <w:szCs w:val="24"/>
        </w:rPr>
        <w:t>Оказание услуг по обеспечению слуховыми аппаратами цифровыми заушными различных модификаций для граждан г. Севастополя в целях их социального обеспечения в 2025 г.</w:t>
      </w:r>
    </w:p>
    <w:tbl>
      <w:tblPr>
        <w:tblStyle w:val="a3"/>
        <w:tblW w:w="9855" w:type="dxa"/>
        <w:jc w:val="left"/>
        <w:tblInd w:w="18" w:type="dxa"/>
        <w:tblLayout w:type="fixed"/>
        <w:tblCellMar>
          <w:top w:w="0" w:type="dxa"/>
          <w:left w:w="108" w:type="dxa"/>
          <w:bottom w:w="0" w:type="dxa"/>
          <w:right w:w="108" w:type="dxa"/>
        </w:tblCellMar>
        <w:tblLook w:firstRow="1" w:noVBand="1" w:lastRow="0" w:firstColumn="1" w:lastColumn="0" w:noHBand="0" w:val="04a0"/>
      </w:tblPr>
      <w:tblGrid>
        <w:gridCol w:w="2085"/>
        <w:gridCol w:w="6870"/>
        <w:gridCol w:w="900"/>
      </w:tblGrid>
      <w:tr>
        <w:trPr/>
        <w:tc>
          <w:tcPr>
            <w:tcW w:w="2085"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Наименование товара (работы, услуги)</w:t>
            </w:r>
          </w:p>
        </w:tc>
        <w:tc>
          <w:tcPr>
            <w:tcW w:w="687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Требования к техническим, функциональным характеристикам, размерам и иные необходимые показатели</w:t>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Кол-во, шт.</w:t>
            </w:r>
          </w:p>
        </w:tc>
      </w:tr>
      <w:tr>
        <w:trPr/>
        <w:tc>
          <w:tcPr>
            <w:tcW w:w="2085"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Слуховой аппарат цифровой заушный мощный</w:t>
            </w:r>
          </w:p>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17-01-06</w:t>
            </w:r>
          </w:p>
          <w:p>
            <w:pPr>
              <w:pStyle w:val="Normal"/>
              <w:widowControl/>
              <w:suppressAutoHyphens w:val="true"/>
              <w:spacing w:lineRule="auto" w:line="240" w:before="0" w:after="0"/>
              <w:jc w:val="left"/>
              <w:rPr>
                <w:rFonts w:ascii="Times New Roman" w:hAnsi="Times New Roman" w:cs="Times New Roman"/>
                <w:sz w:val="20"/>
                <w:szCs w:val="20"/>
              </w:rPr>
            </w:pPr>
            <w:bookmarkStart w:id="0" w:name="_GoBack"/>
            <w:bookmarkEnd w:id="0"/>
            <w:r>
              <w:rPr>
                <w:rFonts w:eastAsia="Calibri" w:cs="Times New Roman" w:ascii="Times New Roman" w:hAnsi="Times New Roman"/>
                <w:kern w:val="0"/>
                <w:sz w:val="20"/>
                <w:szCs w:val="20"/>
                <w:lang w:val="ru-RU" w:eastAsia="en-US" w:bidi="ar-SA"/>
              </w:rPr>
              <w:t>КТРУ: 26.60.14.120-00000004</w:t>
            </w:r>
          </w:p>
        </w:tc>
        <w:tc>
          <w:tcPr>
            <w:tcW w:w="6870" w:type="dxa"/>
            <w:tcBorders/>
          </w:tcPr>
          <w:p>
            <w:pPr>
              <w:pStyle w:val="Normal"/>
              <w:keepNext w:val="true"/>
              <w:widowControl/>
              <w:tabs>
                <w:tab w:val="clear" w:pos="709"/>
                <w:tab w:val="left" w:pos="-789" w:leader="none"/>
              </w:tabs>
              <w:suppressAutoHyphens w:val="true"/>
              <w:snapToGrid w:val="false"/>
              <w:spacing w:lineRule="auto" w:line="240" w:before="0" w:after="0"/>
              <w:ind w:left="-11" w:right="-3"/>
              <w:jc w:val="left"/>
              <w:rPr>
                <w:rFonts w:ascii="Times New Roman" w:hAnsi="Times New Roman" w:cs="Times New Roman"/>
                <w:sz w:val="20"/>
                <w:szCs w:val="20"/>
              </w:rPr>
            </w:pPr>
            <w:r>
              <w:rPr>
                <w:rFonts w:cs="Times New Roman" w:ascii="Times New Roman" w:hAnsi="Times New Roman"/>
                <w:sz w:val="20"/>
                <w:szCs w:val="20"/>
              </w:rPr>
            </w:r>
          </w:p>
          <w:tbl>
            <w:tblPr>
              <w:tblW w:w="64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10"/>
              <w:gridCol w:w="2985"/>
            </w:tblGrid>
            <w:tr>
              <w:trPr>
                <w:trHeight w:val="2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нижняя граница диапазона</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0,10 Килогерц</w:t>
                  </w:r>
                </w:p>
              </w:tc>
            </w:tr>
            <w:tr>
              <w:trPr>
                <w:trHeight w:val="225"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верхняя граница диапазона</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ind w:right="-108"/>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4,90 Килогерц</w:t>
                  </w:r>
                </w:p>
              </w:tc>
            </w:tr>
            <w:tr>
              <w:trPr>
                <w:trHeight w:val="2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Максимальный ВУЗД 90</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130,00 Децибел</w:t>
                  </w:r>
                </w:p>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136,00 Децибел</w:t>
                  </w:r>
                </w:p>
              </w:tc>
            </w:tr>
            <w:tr>
              <w:trPr>
                <w:trHeight w:val="225"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Максимальное усиление</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65,00 ≤ 73,00 Децибел</w:t>
                  </w:r>
                </w:p>
              </w:tc>
            </w:tr>
            <w:tr>
              <w:trPr>
                <w:trHeight w:val="2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каналов цифровой обработки</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4,00</w:t>
                  </w:r>
                </w:p>
              </w:tc>
            </w:tr>
            <w:tr>
              <w:trPr>
                <w:trHeight w:val="225"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программ прослушивания</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2,00</w:t>
                  </w:r>
                </w:p>
              </w:tc>
            </w:tr>
            <w:tr>
              <w:trPr>
                <w:trHeight w:val="1758"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highlight w:val="yellow"/>
                    </w:rPr>
                  </w:pPr>
                  <w:r>
                    <w:rPr>
                      <w:rFonts w:cs="Times New Roman" w:ascii="Times New Roman" w:hAnsi="Times New Roman"/>
                      <w:color w:val="0D0D0D"/>
                      <w:sz w:val="20"/>
                      <w:szCs w:val="20"/>
                    </w:rPr>
                    <w:t xml:space="preserve">Дополнительные параметры: система подавления обратной связи, менеджер шума, направленный микрофон, кнопка переключения программ, функция подачи звукового сигнала при разряде батареи, </w:t>
                  </w:r>
                  <w:bookmarkStart w:id="1" w:name="_Hlk174536187"/>
                  <w:r>
                    <w:rPr>
                      <w:rFonts w:cs="Times New Roman" w:ascii="Times New Roman" w:hAnsi="Times New Roman"/>
                      <w:color w:val="0D0D0D"/>
                      <w:sz w:val="20"/>
                      <w:szCs w:val="20"/>
                    </w:rPr>
                    <w:t xml:space="preserve">мониторинг общего использования слухового аппарата </w:t>
                  </w:r>
                  <w:bookmarkEnd w:id="1"/>
                  <w:r>
                    <w:rPr>
                      <w:rFonts w:cs="Times New Roman" w:ascii="Times New Roman" w:hAnsi="Times New Roman"/>
                      <w:color w:val="0D0D0D"/>
                      <w:sz w:val="20"/>
                      <w:szCs w:val="20"/>
                    </w:rPr>
                    <w:t>(журнал сбора данных), влагозащитное покрытие, защищающее аппарат от влаги и грязи</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highlight w:val="yellow"/>
                    </w:rPr>
                  </w:pPr>
                  <w:r>
                    <w:rPr>
                      <w:rFonts w:cs="Times New Roman" w:ascii="Times New Roman" w:hAnsi="Times New Roman"/>
                      <w:sz w:val="20"/>
                      <w:szCs w:val="20"/>
                    </w:rPr>
                    <w:t>наличие</w:t>
                  </w:r>
                </w:p>
              </w:tc>
            </w:tr>
            <w:tr>
              <w:trPr>
                <w:trHeight w:val="2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Стандартный вкладыш</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1 шт.</w:t>
                  </w:r>
                </w:p>
              </w:tc>
            </w:tr>
            <w:tr>
              <w:trPr>
                <w:trHeight w:val="216" w:hRule="atLeast"/>
              </w:trPr>
              <w:tc>
                <w:tcPr>
                  <w:tcW w:w="351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Элемент питания (батарейка)</w:t>
                  </w:r>
                </w:p>
              </w:tc>
              <w:tc>
                <w:tcPr>
                  <w:tcW w:w="298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2 шт.</w:t>
                  </w:r>
                </w:p>
              </w:tc>
            </w:tr>
          </w:tbl>
          <w:p>
            <w:pPr>
              <w:pStyle w:val="Normal"/>
              <w:keepNext w:val="true"/>
              <w:widowControl/>
              <w:tabs>
                <w:tab w:val="clear" w:pos="709"/>
                <w:tab w:val="left" w:pos="-789" w:leader="none"/>
              </w:tabs>
              <w:suppressAutoHyphens w:val="true"/>
              <w:snapToGrid w:val="false"/>
              <w:spacing w:lineRule="auto" w:line="240" w:before="0" w:after="0"/>
              <w:ind w:left="-11" w:right="-3"/>
              <w:jc w:val="left"/>
              <w:rPr>
                <w:rFonts w:ascii="Times New Roman" w:hAnsi="Times New Roman" w:cs="Times New Roman"/>
                <w:sz w:val="20"/>
                <w:szCs w:val="20"/>
              </w:rPr>
            </w:pPr>
            <w:r>
              <w:rPr>
                <w:rFonts w:cs="Times New Roman" w:ascii="Times New Roman" w:hAnsi="Times New Roman"/>
                <w:sz w:val="20"/>
                <w:szCs w:val="20"/>
              </w:rPr>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90</w:t>
            </w:r>
          </w:p>
        </w:tc>
      </w:tr>
      <w:tr>
        <w:trPr/>
        <w:tc>
          <w:tcPr>
            <w:tcW w:w="2085" w:type="dxa"/>
            <w:tcBorders/>
          </w:tcPr>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ru-RU" w:eastAsia="ru-RU" w:bidi="ar-SA"/>
              </w:rPr>
              <w:t>Слуховой аппарат цифровой заушный мощный</w:t>
            </w:r>
          </w:p>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ru-RU" w:eastAsia="ru-RU" w:bidi="ar-SA"/>
              </w:rPr>
              <w:t>(для детей и молодёжи)</w:t>
            </w:r>
          </w:p>
          <w:p>
            <w:pPr>
              <w:pStyle w:val="Normal"/>
              <w:widowControl/>
              <w:suppressAutoHyphens w:val="true"/>
              <w:spacing w:lineRule="auto" w:line="240" w:before="0" w:after="0"/>
              <w:jc w:val="left"/>
              <w:rPr>
                <w:rFonts w:ascii="Times New Roman" w:hAnsi="Times New Roman" w:cs="Times New Roman"/>
                <w:color w:val="000000"/>
                <w:sz w:val="20"/>
                <w:szCs w:val="20"/>
              </w:rPr>
            </w:pPr>
            <w:r>
              <w:rPr>
                <w:rFonts w:eastAsia="Times New Roman" w:cs="Times New Roman" w:ascii="Times New Roman" w:hAnsi="Times New Roman"/>
                <w:color w:val="000000"/>
                <w:kern w:val="0"/>
                <w:sz w:val="20"/>
                <w:szCs w:val="20"/>
                <w:lang w:val="ru-RU" w:eastAsia="ru-RU" w:bidi="ar-SA"/>
              </w:rPr>
              <w:t>17-01-06</w:t>
            </w:r>
          </w:p>
          <w:p>
            <w:pPr>
              <w:pStyle w:val="Normal"/>
              <w:widowControl/>
              <w:suppressAutoHyphens w:val="true"/>
              <w:spacing w:lineRule="auto" w:line="240" w:before="0" w:after="0"/>
              <w:jc w:val="left"/>
              <w:rPr>
                <w:rFonts w:ascii="Times New Roman" w:hAnsi="Times New Roman" w:cs="Times New Roman"/>
                <w:sz w:val="20"/>
                <w:szCs w:val="20"/>
              </w:rPr>
            </w:pPr>
            <w:bookmarkStart w:id="2" w:name="_GoBack_Копия_1"/>
            <w:bookmarkEnd w:id="2"/>
            <w:r>
              <w:rPr>
                <w:rFonts w:eastAsia="Calibri" w:cs="Times New Roman" w:ascii="Times New Roman" w:hAnsi="Times New Roman"/>
                <w:color w:val="000000"/>
                <w:kern w:val="0"/>
                <w:sz w:val="20"/>
                <w:szCs w:val="20"/>
                <w:lang w:val="ru-RU" w:eastAsia="en-US" w:bidi="ar-SA"/>
              </w:rPr>
              <w:t>КТРУ: 26.60.14.120-00000004</w:t>
            </w:r>
          </w:p>
        </w:tc>
        <w:tc>
          <w:tcPr>
            <w:tcW w:w="6870" w:type="dxa"/>
            <w:tcBorders/>
          </w:tcPr>
          <w:p>
            <w:pPr>
              <w:pStyle w:val="Normal"/>
              <w:widowControl w:val="false"/>
              <w:suppressAutoHyphens w:val="true"/>
              <w:spacing w:lineRule="auto" w:line="240" w:before="0" w:after="0"/>
              <w:jc w:val="both"/>
              <w:rPr>
                <w:rFonts w:ascii="Times New Roman" w:hAnsi="Times New Roman" w:eastAsia="Times New Roman" w:cs="Times New Roman"/>
                <w:spacing w:val="-4"/>
                <w:sz w:val="20"/>
                <w:szCs w:val="20"/>
                <w:lang w:eastAsia="ru-RU"/>
              </w:rPr>
            </w:pPr>
            <w:r>
              <w:rPr>
                <w:rFonts w:eastAsia="Times New Roman" w:cs="Times New Roman" w:ascii="Times New Roman" w:hAnsi="Times New Roman"/>
                <w:spacing w:val="-4"/>
                <w:sz w:val="20"/>
                <w:szCs w:val="20"/>
                <w:lang w:eastAsia="ru-RU"/>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169"/>
              <w:gridCol w:w="1484"/>
            </w:tblGrid>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нижняя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верхняя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6,3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Максимальный ВУЗД 90</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130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Максимальное усиление</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72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каналов цифровой обработки</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16</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программ прослушивания</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tabs>
                      <w:tab w:val="clear" w:pos="709"/>
                      <w:tab w:val="left" w:pos="878" w:leader="none"/>
                    </w:tabs>
                    <w:spacing w:before="0" w:after="160"/>
                    <w:rPr>
                      <w:rFonts w:ascii="Times New Roman" w:hAnsi="Times New Roman" w:cs="Times New Roman"/>
                      <w:sz w:val="20"/>
                      <w:szCs w:val="20"/>
                      <w:highlight w:val="yellow"/>
                    </w:rPr>
                  </w:pPr>
                  <w:r>
                    <w:rPr>
                      <w:rFonts w:cs="Times New Roman" w:ascii="Times New Roman" w:hAnsi="Times New Roman"/>
                      <w:color w:val="0D0D0D"/>
                      <w:sz w:val="20"/>
                      <w:szCs w:val="20"/>
                    </w:rPr>
                    <w:t xml:space="preserve">Дополнительные параметры: </w:t>
                  </w:r>
                  <w:r>
                    <w:rPr>
                      <w:rFonts w:cs="Times New Roman" w:ascii="Times New Roman" w:hAnsi="Times New Roman"/>
                      <w:kern w:val="2"/>
                      <w:sz w:val="20"/>
                      <w:szCs w:val="20"/>
                    </w:rPr>
                    <w:t xml:space="preserve">подавление собственных шумов микрофона, </w:t>
                  </w:r>
                  <w:r>
                    <w:rPr>
                      <w:rFonts w:cs="Times New Roman" w:ascii="Times New Roman" w:hAnsi="Times New Roman"/>
                      <w:sz w:val="20"/>
                      <w:szCs w:val="20"/>
                    </w:rPr>
                    <w:t xml:space="preserve">система подавления обратной связи, </w:t>
                  </w:r>
                  <w:r>
                    <w:rPr>
                      <w:rFonts w:cs="Times New Roman" w:ascii="Times New Roman" w:hAnsi="Times New Roman"/>
                      <w:kern w:val="2"/>
                      <w:sz w:val="20"/>
                      <w:szCs w:val="20"/>
                    </w:rPr>
                    <w:t xml:space="preserve">направленные микрофоны, микрофоны не менее 2-х, частотная компрессия, менеджер речи и шума, дневник регистрации данных,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w:t>
                  </w:r>
                  <w:r>
                    <w:rPr>
                      <w:rFonts w:cs="Times New Roman" w:ascii="Times New Roman" w:hAnsi="Times New Roman"/>
                      <w:sz w:val="20"/>
                      <w:szCs w:val="20"/>
                    </w:rPr>
                    <w:t xml:space="preserve">влагозащитное покрытие, защищающее аппарат от влаги и грязи не менее </w:t>
                  </w:r>
                  <w:r>
                    <w:rPr>
                      <w:rFonts w:cs="Times New Roman" w:ascii="Times New Roman" w:hAnsi="Times New Roman"/>
                      <w:sz w:val="20"/>
                      <w:szCs w:val="20"/>
                      <w:lang w:val="en-US"/>
                    </w:rPr>
                    <w:t>IP</w:t>
                  </w:r>
                  <w:r>
                    <w:rPr>
                      <w:rFonts w:cs="Times New Roman" w:ascii="Times New Roman" w:hAnsi="Times New Roman"/>
                      <w:sz w:val="20"/>
                      <w:szCs w:val="20"/>
                    </w:rPr>
                    <w:t>67</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Наличие</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Стандартный вкладыш</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1,00, штука</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Элемент питания (батарейка)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2,00, штука</w:t>
                  </w:r>
                </w:p>
              </w:tc>
            </w:tr>
          </w:tbl>
          <w:p>
            <w:pPr>
              <w:pStyle w:val="Normal"/>
              <w:widowControl w:val="false"/>
              <w:suppressAutoHyphens w:val="true"/>
              <w:spacing w:lineRule="auto" w:line="240" w:before="0" w:after="0"/>
              <w:jc w:val="both"/>
              <w:rPr>
                <w:rFonts w:ascii="Times New Roman" w:hAnsi="Times New Roman" w:eastAsia="Times New Roman" w:cs="Times New Roman"/>
                <w:spacing w:val="-4"/>
                <w:sz w:val="20"/>
                <w:szCs w:val="20"/>
                <w:lang w:eastAsia="ru-RU"/>
              </w:rPr>
            </w:pPr>
            <w:r>
              <w:rPr>
                <w:rFonts w:eastAsia="Times New Roman" w:cs="Times New Roman" w:ascii="Times New Roman" w:hAnsi="Times New Roman"/>
                <w:spacing w:val="-4"/>
                <w:sz w:val="20"/>
                <w:szCs w:val="20"/>
                <w:lang w:eastAsia="ru-RU"/>
              </w:rPr>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4</w:t>
            </w:r>
          </w:p>
        </w:tc>
      </w:tr>
      <w:tr>
        <w:trPr/>
        <w:tc>
          <w:tcPr>
            <w:tcW w:w="2085" w:type="dxa"/>
            <w:tcBorders/>
          </w:tcPr>
          <w:p>
            <w:pPr>
              <w:pStyle w:val="Normal"/>
              <w:widowControl w:val="false"/>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Слуховой аппарат цифровой заушный сверхмощный</w:t>
            </w:r>
          </w:p>
          <w:p>
            <w:pPr>
              <w:pStyle w:val="Normal"/>
              <w:widowControl w:val="false"/>
              <w:suppressAutoHyphens w:val="true"/>
              <w:spacing w:lineRule="auto" w:line="240" w:before="0" w:after="0"/>
              <w:jc w:val="left"/>
              <w:rPr>
                <w:rFonts w:ascii="Times New Roman" w:hAnsi="Times New Roman" w:eastAsia="Times New Roman" w:cs="Times New Roman"/>
                <w:color w:val="000000"/>
                <w:sz w:val="20"/>
                <w:szCs w:val="20"/>
                <w:lang w:eastAsia="ru-RU"/>
              </w:rPr>
            </w:pPr>
            <w:r>
              <w:rPr>
                <w:rFonts w:eastAsia="Calibri" w:cs="Times New Roman" w:ascii="Times New Roman" w:hAnsi="Times New Roman"/>
                <w:kern w:val="0"/>
                <w:sz w:val="20"/>
                <w:szCs w:val="20"/>
                <w:lang w:val="ru-RU" w:eastAsia="en-US" w:bidi="ar-SA"/>
              </w:rPr>
              <w:t>17-01-05</w:t>
            </w:r>
          </w:p>
          <w:p>
            <w:pPr>
              <w:pStyle w:val="Normal"/>
              <w:widowControl/>
              <w:suppressAutoHyphens w:val="true"/>
              <w:spacing w:lineRule="auto" w:line="240" w:before="0" w:after="0"/>
              <w:jc w:val="left"/>
              <w:rPr>
                <w:rFonts w:ascii="Times New Roman" w:hAnsi="Times New Roman" w:cs="Times New Roman"/>
                <w:sz w:val="20"/>
                <w:szCs w:val="20"/>
              </w:rPr>
            </w:pPr>
            <w:bookmarkStart w:id="3" w:name="_GoBack_Копия_2"/>
            <w:bookmarkEnd w:id="3"/>
            <w:r>
              <w:rPr>
                <w:rFonts w:eastAsia="Calibri" w:cs="Times New Roman" w:ascii="Times New Roman" w:hAnsi="Times New Roman"/>
                <w:color w:val="000000"/>
                <w:kern w:val="0"/>
                <w:sz w:val="20"/>
                <w:szCs w:val="20"/>
                <w:lang w:val="ru-RU" w:eastAsia="en-US" w:bidi="ar-SA"/>
              </w:rPr>
              <w:t>КТРУ: 26.60.14.120-00000004</w:t>
            </w:r>
          </w:p>
        </w:tc>
        <w:tc>
          <w:tcPr>
            <w:tcW w:w="6870"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169"/>
              <w:gridCol w:w="1484"/>
            </w:tblGrid>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нижняя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верхняя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4,8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Максимальный ВУЗД 90</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highlight w:val="yellow"/>
                    </w:rPr>
                  </w:pPr>
                  <w:r>
                    <w:rPr>
                      <w:rFonts w:cs="Times New Roman" w:ascii="Times New Roman" w:hAnsi="Times New Roman"/>
                      <w:sz w:val="20"/>
                      <w:szCs w:val="20"/>
                    </w:rPr>
                    <w:t xml:space="preserve">≤ </w:t>
                  </w:r>
                  <w:r>
                    <w:rPr>
                      <w:rFonts w:cs="Times New Roman" w:ascii="Times New Roman" w:hAnsi="Times New Roman"/>
                      <w:sz w:val="20"/>
                      <w:szCs w:val="20"/>
                    </w:rPr>
                    <w:t>141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Максимальное усиление</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81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каналов цифровой обработки</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программ прослушивания</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3</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uppressLineNumbers/>
                    <w:spacing w:before="0" w:after="160"/>
                    <w:jc w:val="both"/>
                    <w:rPr>
                      <w:rFonts w:ascii="Times New Roman" w:hAnsi="Times New Roman" w:cs="Times New Roman"/>
                      <w:sz w:val="20"/>
                      <w:szCs w:val="20"/>
                      <w:highlight w:val="yellow"/>
                    </w:rPr>
                  </w:pPr>
                  <w:r>
                    <w:rPr>
                      <w:rFonts w:cs="Times New Roman" w:ascii="Times New Roman" w:hAnsi="Times New Roman"/>
                      <w:color w:val="0D0D0D"/>
                      <w:sz w:val="20"/>
                      <w:szCs w:val="20"/>
                    </w:rPr>
                    <w:t>Дополнительные параметры: с</w:t>
                  </w:r>
                  <w:r>
                    <w:rPr>
                      <w:rFonts w:eastAsia="DejaVu Sans" w:cs="Times New Roman" w:ascii="Times New Roman" w:hAnsi="Times New Roman"/>
                      <w:color w:val="0D0D0D"/>
                      <w:sz w:val="20"/>
                      <w:szCs w:val="20"/>
                    </w:rPr>
                    <w:t>истема направленных микрофонов с фиксированной направленностью, подавление обратной связи без снижения усиления с контролем свиста, система шумоподавления, выявляющая и устраняющая фоновые шумы, компрессия широкого динамического диапазона, возможность переконфигурации СА в линейный режим, дневник регистрации данных по результатам ношения СА, In-situ аудиометрия, автоматическое переключение в режим разговора по телефону, нанопокрытие корпуса и внутренних элементов, предохраняющее СА от воздействия факторов внешней среды, вкл\ выкл с помощью батарейного отсека, не менее 4-х независимых частотных регулировок (ограничения) ВУЗД, раздельное усиление тихих, средней громкости и громких звуков, значение компрессии, диапазон регулятора громкости, режим телефонной катушки, звуковой мультитональный индикатор разряда батареи и переключения программ</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Наличие</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Стандартный вкладыш</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1,00, штука</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Элемент питания (батарейка)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2,00, штука</w:t>
                  </w:r>
                </w:p>
              </w:tc>
            </w:tr>
          </w:tbl>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30</w:t>
            </w:r>
          </w:p>
        </w:tc>
      </w:tr>
      <w:tr>
        <w:trPr/>
        <w:tc>
          <w:tcPr>
            <w:tcW w:w="2085" w:type="dxa"/>
            <w:tcBorders/>
          </w:tcPr>
          <w:p>
            <w:pPr>
              <w:pStyle w:val="Normal"/>
              <w:widowControl/>
              <w:suppressAutoHyphens w:val="true"/>
              <w:snapToGrid w:val="false"/>
              <w:spacing w:lineRule="auto" w:line="240" w:before="0" w:after="0"/>
              <w:jc w:val="left"/>
              <w:rPr>
                <w:rFonts w:ascii="Times New Roman" w:hAnsi="Times New Roman" w:eastAsia="Times New Roman" w:cs="Times New Roman"/>
                <w:sz w:val="20"/>
                <w:szCs w:val="20"/>
                <w:lang w:eastAsia="ar-SA"/>
              </w:rPr>
            </w:pPr>
            <w:r>
              <w:rPr>
                <w:rFonts w:eastAsia="Times New Roman" w:cs="Times New Roman" w:ascii="Times New Roman" w:hAnsi="Times New Roman"/>
                <w:kern w:val="0"/>
                <w:sz w:val="20"/>
                <w:szCs w:val="20"/>
                <w:lang w:val="ru-RU" w:eastAsia="ar-SA" w:bidi="ar-SA"/>
              </w:rPr>
              <w:t>Слуховой аппарат цифровой заушный сверхмощный</w:t>
            </w:r>
          </w:p>
          <w:p>
            <w:pPr>
              <w:pStyle w:val="Normal"/>
              <w:widowControl w:val="false"/>
              <w:suppressAutoHyphens w:val="true"/>
              <w:spacing w:lineRule="auto" w:line="240" w:before="0" w:after="0"/>
              <w:jc w:val="left"/>
              <w:rPr>
                <w:rFonts w:ascii="Times New Roman" w:hAnsi="Times New Roman" w:eastAsia="Times New Roman" w:cs="Times New Roman"/>
                <w:sz w:val="20"/>
                <w:szCs w:val="20"/>
                <w:lang w:eastAsia="ar-SA"/>
              </w:rPr>
            </w:pPr>
            <w:r>
              <w:rPr>
                <w:rFonts w:eastAsia="Times New Roman" w:cs="Times New Roman" w:ascii="Times New Roman" w:hAnsi="Times New Roman"/>
                <w:kern w:val="0"/>
                <w:sz w:val="20"/>
                <w:szCs w:val="20"/>
                <w:lang w:val="ru-RU" w:eastAsia="ar-SA" w:bidi="ar-SA"/>
              </w:rPr>
              <w:t>(для детей и молодёжи)</w:t>
            </w:r>
          </w:p>
          <w:p>
            <w:pPr>
              <w:pStyle w:val="Normal"/>
              <w:widowControl w:val="false"/>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kern w:val="0"/>
                <w:sz w:val="20"/>
                <w:szCs w:val="20"/>
                <w:lang w:val="ru-RU" w:eastAsia="ar-SA" w:bidi="ar-SA"/>
              </w:rPr>
              <w:t>17-01-05</w:t>
            </w:r>
          </w:p>
          <w:p>
            <w:pPr>
              <w:pStyle w:val="Normal"/>
              <w:widowControl/>
              <w:suppressAutoHyphens w:val="true"/>
              <w:spacing w:lineRule="auto" w:line="240" w:before="0" w:after="0"/>
              <w:jc w:val="left"/>
              <w:rPr>
                <w:rFonts w:ascii="Times New Roman" w:hAnsi="Times New Roman" w:cs="Times New Roman"/>
                <w:sz w:val="20"/>
                <w:szCs w:val="20"/>
              </w:rPr>
            </w:pPr>
            <w:bookmarkStart w:id="4" w:name="_GoBack_Копия_3"/>
            <w:bookmarkEnd w:id="4"/>
            <w:r>
              <w:rPr>
                <w:rFonts w:eastAsia="Calibri" w:cs="Times New Roman" w:ascii="Times New Roman" w:hAnsi="Times New Roman"/>
                <w:kern w:val="0"/>
                <w:sz w:val="20"/>
                <w:szCs w:val="20"/>
                <w:lang w:val="ru-RU" w:eastAsia="en-US" w:bidi="ar-SA"/>
              </w:rPr>
              <w:t>КТРУ: 26.60.14.120-00000004</w:t>
            </w:r>
          </w:p>
        </w:tc>
        <w:tc>
          <w:tcPr>
            <w:tcW w:w="6870"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bl>
            <w:tblPr>
              <w:tblW w:w="63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3401"/>
            </w:tblGrid>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Максимальный ВУЗД 90</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140 Децибел</w:t>
                  </w:r>
                </w:p>
              </w:tc>
            </w:tr>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Максимальное усиление</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82 Децибел</w:t>
                  </w:r>
                </w:p>
              </w:tc>
            </w:tr>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нижняя граница диапазона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 Килогерц</w:t>
                  </w:r>
                </w:p>
              </w:tc>
            </w:tr>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pacing w:before="0" w:after="160"/>
                    <w:jc w:val="both"/>
                    <w:rPr>
                      <w:rFonts w:ascii="Times New Roman" w:hAnsi="Times New Roman" w:cs="Times New Roman"/>
                      <w:sz w:val="20"/>
                      <w:szCs w:val="20"/>
                    </w:rPr>
                  </w:pPr>
                  <w:r>
                    <w:rPr>
                      <w:rFonts w:cs="Times New Roman" w:ascii="Times New Roman" w:hAnsi="Times New Roman"/>
                      <w:sz w:val="20"/>
                      <w:szCs w:val="20"/>
                    </w:rPr>
                    <w:t>Диапазон частот верхняя граница диапазона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5,0 Килогерц</w:t>
                  </w:r>
                </w:p>
              </w:tc>
            </w:tr>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каналов цифровой обработки</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16,00</w:t>
                  </w:r>
                </w:p>
              </w:tc>
            </w:tr>
            <w:tr>
              <w:trPr>
                <w:trHeight w:val="266"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программ прослушивания</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4,00</w:t>
                  </w:r>
                </w:p>
              </w:tc>
            </w:tr>
            <w:tr>
              <w:trPr>
                <w:trHeight w:val="1898"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789" w:leader="none"/>
                    </w:tabs>
                    <w:snapToGrid w:val="false"/>
                    <w:spacing w:before="0" w:after="160"/>
                    <w:ind w:right="-3"/>
                    <w:rPr>
                      <w:rFonts w:ascii="Times New Roman" w:hAnsi="Times New Roman" w:cs="Times New Roman"/>
                      <w:sz w:val="20"/>
                      <w:szCs w:val="20"/>
                      <w:highlight w:val="yellow"/>
                    </w:rPr>
                  </w:pPr>
                  <w:r>
                    <w:rPr>
                      <w:rFonts w:cs="Times New Roman" w:ascii="Times New Roman" w:hAnsi="Times New Roman"/>
                      <w:color w:val="0D0D0D"/>
                      <w:sz w:val="20"/>
                      <w:szCs w:val="20"/>
                    </w:rPr>
                    <w:t xml:space="preserve">Дополнительные параметры: </w:t>
                  </w:r>
                  <w:r>
                    <w:rPr>
                      <w:rFonts w:cs="Times New Roman" w:ascii="Times New Roman" w:hAnsi="Times New Roman"/>
                      <w:kern w:val="2"/>
                      <w:sz w:val="20"/>
                      <w:szCs w:val="20"/>
                    </w:rPr>
                    <w:t xml:space="preserve">автоматическая система направленных микрофонов, количество микрофонов – не менее 2-х, система бинаурального взаимодействия слуховых аппаратов, кнопка переключения программ с акустическим сигналом, программируемая телефонная катушка, совместимость с большинством FM-систем, система подавления собственных шумов микрофона, система автоматического подавления акустической обратной связи, включение/выключение аппарата кнопкой переключения программ, программируемый регулятор громкости, акустический сигнал, предупреждающий о разряде батарейки, возможность подключения пульта дистанционного управления, </w:t>
                  </w:r>
                  <w:r>
                    <w:rPr>
                      <w:rFonts w:cs="Times New Roman" w:ascii="Times New Roman" w:hAnsi="Times New Roman"/>
                      <w:sz w:val="20"/>
                      <w:szCs w:val="20"/>
                    </w:rPr>
                    <w:t xml:space="preserve"> влагозащитное покрытие, защищающее аппарат от влаги и грязи не менее </w:t>
                  </w:r>
                  <w:r>
                    <w:rPr>
                      <w:rFonts w:cs="Times New Roman" w:ascii="Times New Roman" w:hAnsi="Times New Roman"/>
                      <w:sz w:val="20"/>
                      <w:szCs w:val="20"/>
                      <w:lang w:val="en-US"/>
                    </w:rPr>
                    <w:t>IP</w:t>
                  </w:r>
                  <w:r>
                    <w:rPr>
                      <w:rFonts w:cs="Times New Roman" w:ascii="Times New Roman" w:hAnsi="Times New Roman"/>
                      <w:sz w:val="20"/>
                      <w:szCs w:val="20"/>
                    </w:rPr>
                    <w:t>67</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Наличие</w:t>
                  </w:r>
                </w:p>
              </w:tc>
            </w:tr>
            <w:tr>
              <w:trPr>
                <w:trHeight w:val="280"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Стандартный вкладыш</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1,00, штука</w:t>
                  </w:r>
                </w:p>
              </w:tc>
            </w:tr>
            <w:tr>
              <w:trPr>
                <w:trHeight w:val="251" w:hRule="atLeast"/>
              </w:trPr>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Элемент питания (батарейка)</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2,00, штука</w:t>
                  </w:r>
                </w:p>
              </w:tc>
            </w:tr>
          </w:tbl>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4</w:t>
            </w:r>
          </w:p>
        </w:tc>
      </w:tr>
      <w:tr>
        <w:trPr/>
        <w:tc>
          <w:tcPr>
            <w:tcW w:w="2085" w:type="dxa"/>
            <w:tcBorders/>
          </w:tcPr>
          <w:p>
            <w:pPr>
              <w:pStyle w:val="Normal"/>
              <w:widowControl/>
              <w:suppressAutoHyphens w:val="true"/>
              <w:spacing w:lineRule="auto" w:line="240" w:before="0" w:after="0"/>
              <w:jc w:val="left"/>
              <w:rPr>
                <w:b w:val="false"/>
                <w:bCs w:val="false"/>
              </w:rPr>
            </w:pPr>
            <w:r>
              <w:rPr>
                <w:rFonts w:eastAsia="Calibri" w:cs="Times New Roman" w:ascii="Times New Roman" w:hAnsi="Times New Roman"/>
                <w:b w:val="false"/>
                <w:bCs w:val="false"/>
                <w:kern w:val="0"/>
                <w:sz w:val="20"/>
                <w:szCs w:val="20"/>
                <w:lang w:val="ru-RU" w:eastAsia="en-US" w:bidi="ar-SA"/>
              </w:rPr>
              <w:t>Слуховой аппарат цифровой заушный средней мощности</w:t>
            </w:r>
          </w:p>
          <w:p>
            <w:pPr>
              <w:pStyle w:val="Normal"/>
              <w:widowControl/>
              <w:suppressAutoHyphens w:val="true"/>
              <w:spacing w:lineRule="auto" w:line="240" w:before="0" w:after="0"/>
              <w:jc w:val="center"/>
              <w:rPr>
                <w:b w:val="false"/>
                <w:bCs w:val="false"/>
              </w:rPr>
            </w:pPr>
            <w:r>
              <w:rPr>
                <w:rFonts w:eastAsia="Calibri" w:cs="Times New Roman" w:ascii="Times New Roman" w:hAnsi="Times New Roman"/>
                <w:b w:val="false"/>
                <w:bCs w:val="false"/>
                <w:kern w:val="0"/>
                <w:sz w:val="20"/>
                <w:szCs w:val="20"/>
                <w:lang w:val="ru-RU" w:eastAsia="en-US" w:bidi="ar-SA"/>
              </w:rPr>
              <w:t>17-01-07</w:t>
            </w:r>
          </w:p>
          <w:p>
            <w:pPr>
              <w:pStyle w:val="Normal"/>
              <w:widowControl/>
              <w:suppressAutoHyphens w:val="true"/>
              <w:spacing w:lineRule="auto" w:line="240" w:before="0" w:after="0"/>
              <w:jc w:val="left"/>
              <w:rPr>
                <w:b w:val="false"/>
                <w:bCs w:val="false"/>
              </w:rPr>
            </w:pPr>
            <w:bookmarkStart w:id="5" w:name="_GoBack_Копия_4"/>
            <w:bookmarkEnd w:id="5"/>
            <w:r>
              <w:rPr>
                <w:rFonts w:eastAsia="Calibri" w:cs="Times New Roman" w:ascii="Times New Roman" w:hAnsi="Times New Roman"/>
                <w:b w:val="false"/>
                <w:bCs w:val="false"/>
                <w:kern w:val="0"/>
                <w:sz w:val="20"/>
                <w:szCs w:val="20"/>
                <w:lang w:val="ru-RU" w:eastAsia="en-US" w:bidi="ar-SA"/>
              </w:rPr>
              <w:t>КТРУ: 26.60.14.120-00000004</w:t>
            </w:r>
          </w:p>
        </w:tc>
        <w:tc>
          <w:tcPr>
            <w:tcW w:w="6870"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169"/>
              <w:gridCol w:w="1484"/>
            </w:tblGrid>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sz w:val="20"/>
                      <w:szCs w:val="20"/>
                    </w:rPr>
                  </w:pPr>
                  <w:r>
                    <w:rPr>
                      <w:rFonts w:cs="Times New Roman" w:ascii="Times New Roman" w:hAnsi="Times New Roman"/>
                      <w:sz w:val="20"/>
                      <w:szCs w:val="20"/>
                    </w:rPr>
                    <w:t>Диапазон частот нижняя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0,10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sz w:val="20"/>
                      <w:szCs w:val="20"/>
                    </w:rPr>
                  </w:pPr>
                  <w:r>
                    <w:rPr>
                      <w:rFonts w:cs="Times New Roman" w:ascii="Times New Roman" w:hAnsi="Times New Roman"/>
                      <w:sz w:val="20"/>
                      <w:szCs w:val="20"/>
                    </w:rPr>
                    <w:t>Диапазон частот верхняя граница диапазона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6,00 Килогерц</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Максимальный ВУЗД 90</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123,00 ≤ 128,00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Максимальное усиление</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52,00 ≤ 61,00 Децибел</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каналов цифровой обработки</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4,00</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Количество программ прослушивания</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2,00</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uppressLineNumbers/>
                    <w:tabs>
                      <w:tab w:val="clear" w:pos="709"/>
                      <w:tab w:val="left" w:pos="708" w:leader="none"/>
                    </w:tabs>
                    <w:spacing w:before="0" w:after="160"/>
                    <w:ind w:firstLine="212"/>
                    <w:jc w:val="both"/>
                    <w:rPr>
                      <w:rFonts w:ascii="Times New Roman" w:hAnsi="Times New Roman" w:cs="Times New Roman"/>
                      <w:sz w:val="20"/>
                      <w:szCs w:val="20"/>
                      <w:highlight w:val="yellow"/>
                    </w:rPr>
                  </w:pPr>
                  <w:r>
                    <w:rPr>
                      <w:rFonts w:cs="Times New Roman" w:ascii="Times New Roman" w:hAnsi="Times New Roman"/>
                      <w:color w:val="0D0D0D"/>
                      <w:sz w:val="20"/>
                      <w:szCs w:val="20"/>
                    </w:rPr>
                    <w:t xml:space="preserve">Дополнительные параметры: </w:t>
                  </w:r>
                  <w:bookmarkStart w:id="6" w:name="_Hlk174534498"/>
                  <w:r>
                    <w:rPr>
                      <w:rFonts w:cs="Times New Roman" w:ascii="Times New Roman" w:hAnsi="Times New Roman"/>
                      <w:color w:val="0D0D0D"/>
                      <w:sz w:val="20"/>
                      <w:szCs w:val="20"/>
                    </w:rPr>
                    <w:t>шумоподавление, кнопка переключения программ, направленный микрофон, дополнительная система контроля свиста, возможность активации сигналов о переключении программ, функция подачи звукового сигнала при разряде батареи, подавление обратной связи, мониторинг общего использования слухового аппарата, влагозащитное покрытие, защищающее аппарат от влаги и грязи</w:t>
                  </w:r>
                  <w:bookmarkEnd w:id="6"/>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Наличие</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tabs>
                      <w:tab w:val="clear" w:pos="709"/>
                      <w:tab w:val="left" w:pos="3828" w:leader="none"/>
                      <w:tab w:val="center" w:pos="5244" w:leader="none"/>
                    </w:tabs>
                    <w:spacing w:before="0" w:after="160"/>
                    <w:jc w:val="both"/>
                    <w:rPr>
                      <w:rFonts w:ascii="Times New Roman" w:hAnsi="Times New Roman" w:cs="Times New Roman"/>
                      <w:sz w:val="20"/>
                      <w:szCs w:val="20"/>
                    </w:rPr>
                  </w:pPr>
                  <w:r>
                    <w:rPr>
                      <w:rFonts w:cs="Times New Roman" w:ascii="Times New Roman" w:hAnsi="Times New Roman"/>
                      <w:sz w:val="20"/>
                      <w:szCs w:val="20"/>
                    </w:rPr>
                    <w:t>Стандартный вкладыш</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1,00, штука</w:t>
                  </w:r>
                </w:p>
              </w:tc>
            </w:tr>
            <w:tr>
              <w:trPr/>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pacing w:before="0" w:after="160"/>
                    <w:jc w:val="both"/>
                    <w:rPr>
                      <w:rFonts w:ascii="Times New Roman" w:hAnsi="Times New Roman" w:cs="Times New Roman"/>
                      <w:sz w:val="20"/>
                      <w:szCs w:val="20"/>
                    </w:rPr>
                  </w:pPr>
                  <w:r>
                    <w:rPr>
                      <w:rFonts w:cs="Times New Roman" w:ascii="Times New Roman" w:hAnsi="Times New Roman"/>
                      <w:sz w:val="20"/>
                      <w:szCs w:val="20"/>
                    </w:rPr>
                    <w:t>Элемент питания (батарейка)</w:t>
                  </w:r>
                </w:p>
              </w:tc>
              <w:tc>
                <w:tcPr>
                  <w:tcW w:w="14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2,00, штука</w:t>
                  </w:r>
                </w:p>
              </w:tc>
            </w:tr>
          </w:tbl>
          <w:p>
            <w:pPr>
              <w:pStyle w:val="Normal"/>
              <w:widowControl/>
              <w:suppressAutoHyphens w:val="true"/>
              <w:spacing w:lineRule="auto" w:line="240" w:before="0" w:after="0"/>
              <w:jc w:val="left"/>
              <w:rPr>
                <w:rFonts w:ascii="Times New Roman" w:hAnsi="Times New Roman" w:cs="Times New Roman"/>
                <w:sz w:val="20"/>
                <w:szCs w:val="20"/>
              </w:rPr>
            </w:pPr>
            <w:r>
              <w:rPr>
                <w:rFonts w:cs="Times New Roman" w:ascii="Times New Roman" w:hAnsi="Times New Roman"/>
                <w:sz w:val="20"/>
                <w:szCs w:val="20"/>
              </w:rPr>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w:t>
            </w:r>
          </w:p>
        </w:tc>
      </w:tr>
      <w:tr>
        <w:trPr/>
        <w:tc>
          <w:tcPr>
            <w:tcW w:w="8955" w:type="dxa"/>
            <w:gridSpan w:val="2"/>
            <w:tcBorders/>
          </w:tcPr>
          <w:p>
            <w:pPr>
              <w:pStyle w:val="Normal"/>
              <w:widowControl/>
              <w:suppressAutoHyphens w:val="true"/>
              <w:spacing w:lineRule="auto" w:line="240" w:before="0" w:after="0"/>
              <w:jc w:val="left"/>
              <w:rPr>
                <w:rFonts w:ascii="Times New Roman" w:hAnsi="Times New Roman" w:cs="Times New Roman"/>
                <w:color w:themeColor="text1" w:val="000000"/>
                <w:sz w:val="20"/>
                <w:szCs w:val="20"/>
              </w:rPr>
            </w:pPr>
            <w:r>
              <w:rPr>
                <w:rFonts w:eastAsia="Calibri" w:cs="Times New Roman" w:ascii="Times New Roman" w:hAnsi="Times New Roman"/>
                <w:color w:themeColor="text1" w:val="000000"/>
                <w:kern w:val="0"/>
                <w:sz w:val="20"/>
                <w:szCs w:val="20"/>
                <w:lang w:val="ru-RU" w:eastAsia="en-US" w:bidi="ar-SA"/>
              </w:rPr>
              <w:t>ИТОГО:</w:t>
            </w:r>
          </w:p>
        </w:tc>
        <w:tc>
          <w:tcPr>
            <w:tcW w:w="900" w:type="dxa"/>
            <w:tcBorders/>
            <w:vAlign w:val="center"/>
          </w:tcPr>
          <w:p>
            <w:pPr>
              <w:pStyle w:val="Normal"/>
              <w:widowControl/>
              <w:suppressAutoHyphens w:val="true"/>
              <w:spacing w:lineRule="auto" w:line="240" w:before="0" w:after="0"/>
              <w:jc w:val="center"/>
              <w:rPr>
                <w:rFonts w:ascii="Times New Roman" w:hAnsi="Times New Roman" w:cs="Times New Roman"/>
                <w:color w:themeColor="text1" w:val="000000"/>
                <w:sz w:val="20"/>
                <w:szCs w:val="20"/>
              </w:rPr>
            </w:pPr>
            <w:r>
              <w:rPr>
                <w:rFonts w:eastAsia="Calibri" w:cs="Times New Roman" w:ascii="Times New Roman" w:hAnsi="Times New Roman"/>
                <w:color w:themeColor="text1" w:val="000000"/>
                <w:kern w:val="0"/>
                <w:sz w:val="20"/>
                <w:szCs w:val="20"/>
                <w:lang w:val="ru-RU" w:eastAsia="en-US" w:bidi="ar-SA"/>
              </w:rPr>
              <w:t>130</w:t>
            </w:r>
          </w:p>
        </w:tc>
      </w:tr>
    </w:tbl>
    <w:p>
      <w:pPr>
        <w:pStyle w:val="Normal"/>
        <w:tabs>
          <w:tab w:val="clear" w:pos="709"/>
          <w:tab w:val="left" w:pos="0" w:leader="none"/>
          <w:tab w:val="left" w:pos="426" w:leader="none"/>
        </w:tabs>
        <w:spacing w:lineRule="auto" w:line="240" w:before="0" w:after="160"/>
        <w:ind w:firstLine="1080"/>
        <w:contextualSpacing/>
        <w:jc w:val="both"/>
        <w:rPr>
          <w:rFonts w:ascii="Times New Roman" w:hAnsi="Times New Roman" w:eastAsia="Calibri" w:cs="Times New Roman"/>
          <w:color w:themeColor="text1" w:val="000000"/>
          <w:sz w:val="24"/>
          <w:szCs w:val="24"/>
          <w:shd w:fill="FFFFFF" w:val="clear"/>
        </w:rPr>
      </w:pPr>
      <w:r>
        <w:rPr>
          <w:rFonts w:eastAsia="Calibri" w:cs="Times New Roman" w:ascii="Times New Roman" w:hAnsi="Times New Roman"/>
          <w:color w:themeColor="text1" w:val="000000"/>
          <w:sz w:val="24"/>
          <w:szCs w:val="24"/>
          <w:shd w:fill="FFFFFF" w:val="clear"/>
        </w:rPr>
      </w:r>
    </w:p>
    <w:p>
      <w:pPr>
        <w:pStyle w:val="Normal"/>
        <w:widowControl/>
        <w:tabs>
          <w:tab w:val="clear" w:pos="709"/>
          <w:tab w:val="left" w:pos="0" w:leader="none"/>
          <w:tab w:val="left" w:pos="426" w:leader="none"/>
        </w:tabs>
        <w:suppressAutoHyphens w:val="true"/>
        <w:bidi w:val="0"/>
        <w:spacing w:lineRule="auto" w:line="259" w:before="0" w:after="160"/>
        <w:ind w:hanging="0" w:left="0" w:right="0"/>
        <w:contextualSpacing/>
        <w:jc w:val="both"/>
        <w:rPr>
          <w:rFonts w:ascii="Times New Roman" w:hAnsi="Times New Roman" w:eastAsia="Calibri" w:cs="Times New Roman"/>
          <w:sz w:val="24"/>
          <w:szCs w:val="24"/>
        </w:rPr>
      </w:pPr>
      <w:r>
        <w:rPr>
          <w:rFonts w:eastAsia="Calibri" w:cs="Times New Roman" w:ascii="Times New Roman" w:hAnsi="Times New Roman"/>
          <w:color w:themeColor="text1" w:val="000000"/>
          <w:sz w:val="24"/>
          <w:szCs w:val="24"/>
          <w:shd w:fill="FFFFFF" w:val="clear"/>
        </w:rPr>
        <w:t xml:space="preserve">      </w:t>
      </w:r>
      <w:r>
        <w:rPr>
          <w:rFonts w:eastAsia="Calibri" w:cs="Times New Roman" w:ascii="Times New Roman" w:hAnsi="Times New Roman"/>
          <w:color w:themeColor="text1" w:val="000000"/>
          <w:sz w:val="24"/>
          <w:szCs w:val="24"/>
          <w:shd w:fill="FFFFFF" w:val="clear"/>
        </w:rPr>
        <w:t xml:space="preserve">Закупка услуг по обеспечению слуховыми аппаратами цифровыми заушными различных </w:t>
      </w:r>
      <w:r>
        <w:rPr>
          <w:rFonts w:eastAsia="Calibri" w:cs="Times New Roman" w:ascii="Times New Roman" w:hAnsi="Times New Roman"/>
          <w:sz w:val="24"/>
          <w:szCs w:val="24"/>
          <w:shd w:fill="FFFFFF" w:val="clear"/>
        </w:rPr>
        <w:t xml:space="preserve">модификаций </w:t>
      </w:r>
      <w:r>
        <w:rPr>
          <w:rFonts w:eastAsia="Calibri" w:cs="Times New Roman" w:ascii="Times New Roman" w:hAnsi="Times New Roman"/>
          <w:sz w:val="24"/>
          <w:szCs w:val="24"/>
        </w:rPr>
        <w:t>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pStyle w:val="Normal"/>
        <w:widowControl/>
        <w:tabs>
          <w:tab w:val="clear" w:pos="709"/>
          <w:tab w:val="left" w:pos="0" w:leader="none"/>
          <w:tab w:val="left" w:pos="426" w:leader="none"/>
        </w:tabs>
        <w:suppressAutoHyphens w:val="true"/>
        <w:bidi w:val="0"/>
        <w:spacing w:lineRule="auto" w:line="259" w:before="0" w:after="160"/>
        <w:ind w:hanging="0" w:left="0" w:right="0"/>
        <w:contextualSpacing/>
        <w:jc w:val="both"/>
        <w:rPr>
          <w:rFonts w:ascii="Times New Roman" w:hAnsi="Times New Roman" w:eastAsia="Calibri" w:cs="Times New Roman"/>
          <w:sz w:val="24"/>
          <w:szCs w:val="24"/>
        </w:rPr>
      </w:pPr>
      <w:r>
        <w:rPr>
          <w:rFonts w:cs="Times New Roman" w:ascii="Times New Roman" w:hAnsi="Times New Roman"/>
          <w:b/>
          <w:sz w:val="24"/>
          <w:szCs w:val="24"/>
        </w:rPr>
        <w:t>Объект закупки</w:t>
      </w:r>
      <w:r>
        <w:rPr>
          <w:rFonts w:eastAsia="Calibri" w:cs="Times New Roman" w:ascii="Times New Roman" w:hAnsi="Times New Roman"/>
          <w:b/>
          <w:sz w:val="24"/>
          <w:szCs w:val="24"/>
        </w:rPr>
        <w:t xml:space="preserve">, </w:t>
      </w:r>
      <w:r>
        <w:rPr>
          <w:rFonts w:cs="Times New Roman" w:ascii="Times New Roman" w:hAnsi="Times New Roman"/>
          <w:b/>
          <w:sz w:val="24"/>
          <w:szCs w:val="24"/>
        </w:rPr>
        <w:t xml:space="preserve">объем услуг, место оказания услуг, требования к результату оказываемых услуг. </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Объектом закупки является оказание услуг по обеспечению (далее - Получатели) </w:t>
      </w:r>
      <w:r>
        <w:rPr>
          <w:rFonts w:cs="Times New Roman" w:ascii="Times New Roman" w:hAnsi="Times New Roman"/>
          <w:color w:val="000000"/>
          <w:sz w:val="24"/>
          <w:szCs w:val="24"/>
        </w:rPr>
        <w:t xml:space="preserve">слуховыми аппаратами цифровыми заушными различных модификаций </w:t>
      </w:r>
      <w:r>
        <w:rPr>
          <w:rFonts w:cs="Times New Roman" w:ascii="Times New Roman" w:hAnsi="Times New Roman"/>
          <w:sz w:val="24"/>
          <w:szCs w:val="24"/>
        </w:rPr>
        <w:t xml:space="preserve">(далее – Изделия). </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Услуги по обеспечению слуховыми аппаратами различных модификаций включают себя: </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проведение осмотра (сбор анамнеза и жалоб, визуальное исследование, отоскопия) врачом сурдологом – оториноларингологом;</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настройку слухового аппарата;</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осуществление технического обслуживания и ремонта слухового аппарата;</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создание условий для оказания услуг, включая предоставление бесплатной, доступной и достоверной информации об услуге;</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 оформление медицинской документации в соответствии с требованиями действующего законодательства. </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Результатом оказания услуг является обеспечение Получателей слуховыми аппаратами,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pPr>
        <w:pStyle w:val="Normal"/>
        <w:tabs>
          <w:tab w:val="clear" w:pos="709"/>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Исполнитель гарантирует, что Изделия, обеспечение которыми осуществляется в рамках настоящего контракта:</w:t>
      </w:r>
    </w:p>
    <w:p>
      <w:pPr>
        <w:pStyle w:val="Normal"/>
        <w:tabs>
          <w:tab w:val="clear" w:pos="709"/>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 соответствуют требованиям, предъявляемым действующим законодательством к безопасности;</w:t>
      </w:r>
    </w:p>
    <w:p>
      <w:pPr>
        <w:pStyle w:val="Normal"/>
        <w:tabs>
          <w:tab w:val="clear" w:pos="709"/>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 качество и безопасность Изделий,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или декларацией о соответствии;</w:t>
      </w:r>
    </w:p>
    <w:p>
      <w:pPr>
        <w:pStyle w:val="Normal"/>
        <w:tabs>
          <w:tab w:val="clear" w:pos="709"/>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w:t>
      </w:r>
      <w:r>
        <w:rPr>
          <w:rFonts w:eastAsia="Calibri" w:cs="Times New Roman" w:ascii="Times New Roman" w:hAnsi="Times New Roman"/>
          <w:sz w:val="24"/>
          <w:szCs w:val="24"/>
        </w:rPr>
        <w:t>, в соответствии с требованиями Федерального</w:t>
      </w:r>
      <w:r>
        <w:rPr>
          <w:rFonts w:cs="Times New Roman" w:ascii="Times New Roman" w:hAnsi="Times New Roman"/>
          <w:sz w:val="24"/>
          <w:szCs w:val="24"/>
        </w:rPr>
        <w:t xml:space="preserve"> закона от 21.11.2011 N 323-ФЗ "Об основах охраны здоровья граждан в Российской Федерации».</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являются новыми, свободными от прав третьих лиц.</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eastAsia="Calibri" w:cs="Times New Roman" w:ascii="Times New Roman" w:hAnsi="Times New Roman"/>
          <w:b/>
          <w:sz w:val="24"/>
          <w:szCs w:val="24"/>
        </w:rPr>
        <w:t xml:space="preserve">Требования, предъявляемые к содержанию и качеству услуг. </w:t>
      </w:r>
    </w:p>
    <w:p>
      <w:pPr>
        <w:pStyle w:val="Normal"/>
        <w:widowControl w:val="false"/>
        <w:tabs>
          <w:tab w:val="clear" w:pos="709"/>
          <w:tab w:val="left" w:pos="0" w:leader="none"/>
          <w:tab w:val="left" w:pos="426" w:leader="none"/>
        </w:tabs>
        <w:ind w:hanging="0"/>
        <w:jc w:val="both"/>
        <w:rPr>
          <w:rFonts w:ascii="Times New Roman" w:hAnsi="Times New Roman" w:cs="Times New Roman"/>
          <w:sz w:val="24"/>
          <w:szCs w:val="24"/>
        </w:rPr>
      </w:pPr>
      <w:r>
        <w:rPr>
          <w:rFonts w:cs="Times New Roman" w:ascii="Times New Roman" w:hAnsi="Times New Roman"/>
          <w:sz w:val="24"/>
          <w:szCs w:val="24"/>
        </w:rPr>
        <w:t>Исполнитель при оказании услуг обеспечивает:</w:t>
      </w:r>
    </w:p>
    <w:p>
      <w:pPr>
        <w:pStyle w:val="Normal"/>
        <w:ind w:hanging="284" w:left="284"/>
        <w:jc w:val="both"/>
        <w:rPr>
          <w:rFonts w:ascii="Times New Roman" w:hAnsi="Times New Roman" w:cs="Times New Roman"/>
          <w:sz w:val="24"/>
          <w:szCs w:val="24"/>
        </w:rPr>
      </w:pPr>
      <w:r>
        <w:rPr>
          <w:rFonts w:cs="Times New Roman" w:ascii="Times New Roman" w:hAnsi="Times New Roman"/>
          <w:sz w:val="24"/>
          <w:szCs w:val="24"/>
        </w:rPr>
        <w:t>- создание условий для оказания услуг, включая предоставление бесплатной, доступной и достоверной информации об услуге;</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прием и регистрацию получателей;</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прием необходимых документов у Получателя для выдачи слухового аппарата;</w:t>
      </w:r>
    </w:p>
    <w:p>
      <w:pPr>
        <w:pStyle w:val="Normal"/>
        <w:ind w:hanging="142" w:left="142"/>
        <w:jc w:val="both"/>
        <w:rPr>
          <w:rFonts w:ascii="Times New Roman" w:hAnsi="Times New Roman" w:cs="Times New Roman"/>
          <w:sz w:val="24"/>
          <w:szCs w:val="24"/>
        </w:rPr>
      </w:pPr>
      <w:r>
        <w:rPr>
          <w:rFonts w:cs="Times New Roman" w:ascii="Times New Roman" w:hAnsi="Times New Roman"/>
          <w:sz w:val="24"/>
          <w:szCs w:val="24"/>
        </w:rPr>
        <w:t xml:space="preserve">- проведение осмотра (сбор анамнеза и жалоб, визуальное исследование, отоскопия) врачом сурдологом - оториноларингологом; </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xml:space="preserve">- подбор слухового аппарата; </w:t>
      </w:r>
    </w:p>
    <w:p>
      <w:pPr>
        <w:pStyle w:val="Normal"/>
        <w:ind w:hanging="927" w:left="927"/>
        <w:jc w:val="both"/>
        <w:rPr>
          <w:rFonts w:ascii="Times New Roman" w:hAnsi="Times New Roman" w:cs="Times New Roman"/>
          <w:sz w:val="24"/>
          <w:szCs w:val="24"/>
        </w:rPr>
      </w:pPr>
      <w:r>
        <w:rPr>
          <w:rFonts w:cs="Times New Roman" w:ascii="Times New Roman" w:hAnsi="Times New Roman"/>
          <w:sz w:val="24"/>
          <w:szCs w:val="24"/>
        </w:rPr>
        <w:t>- настройку слухового аппарата;</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обучение Получателей пользованию слуховым аппаратом;</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разъяснение порядка обеспечения слуховым аппаратом;</w:t>
      </w:r>
    </w:p>
    <w:p>
      <w:pPr>
        <w:pStyle w:val="Normal"/>
        <w:tabs>
          <w:tab w:val="clear" w:pos="709"/>
          <w:tab w:val="left" w:pos="0" w:leader="none"/>
          <w:tab w:val="left" w:pos="993" w:leader="none"/>
        </w:tabs>
        <w:ind w:hanging="927" w:left="927"/>
        <w:jc w:val="both"/>
        <w:rPr>
          <w:rFonts w:ascii="Times New Roman" w:hAnsi="Times New Roman" w:cs="Times New Roman"/>
          <w:sz w:val="24"/>
          <w:szCs w:val="24"/>
        </w:rPr>
      </w:pPr>
      <w:r>
        <w:rPr>
          <w:rFonts w:cs="Times New Roman" w:ascii="Times New Roman" w:hAnsi="Times New Roman"/>
          <w:sz w:val="24"/>
          <w:szCs w:val="24"/>
        </w:rPr>
        <w:t>- выдачу слухового аппарата с учетом индивидуального подбора;</w:t>
      </w:r>
    </w:p>
    <w:p>
      <w:pPr>
        <w:pStyle w:val="Normal"/>
        <w:ind w:hanging="142" w:left="142"/>
        <w:jc w:val="both"/>
        <w:rPr>
          <w:rFonts w:ascii="Times New Roman" w:hAnsi="Times New Roman" w:cs="Times New Roman"/>
          <w:sz w:val="24"/>
          <w:szCs w:val="24"/>
        </w:rPr>
      </w:pPr>
      <w:r>
        <w:rPr>
          <w:rFonts w:cs="Times New Roman" w:ascii="Times New Roman" w:hAnsi="Times New Roman"/>
          <w:sz w:val="24"/>
          <w:szCs w:val="24"/>
        </w:rPr>
        <w:t>- оформление медицинской документации, в соответствии с требованиями действующего законодательства.</w:t>
      </w:r>
    </w:p>
    <w:p>
      <w:pPr>
        <w:pStyle w:val="Normal"/>
        <w:ind w:hanging="142" w:left="142"/>
        <w:jc w:val="both"/>
        <w:rPr>
          <w:rFonts w:ascii="Times New Roman" w:hAnsi="Times New Roman" w:cs="Times New Roman"/>
          <w:sz w:val="24"/>
          <w:szCs w:val="24"/>
        </w:rPr>
      </w:pPr>
      <w:r>
        <w:rPr>
          <w:rFonts w:cs="Times New Roman" w:ascii="Times New Roman" w:hAnsi="Times New Roman"/>
          <w:sz w:val="24"/>
          <w:szCs w:val="24"/>
        </w:rPr>
        <w:t>- 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pPr>
        <w:pStyle w:val="Normal"/>
        <w:tabs>
          <w:tab w:val="clear" w:pos="709"/>
          <w:tab w:val="left" w:pos="0" w:leader="none"/>
        </w:tabs>
        <w:spacing w:before="0" w:after="160"/>
        <w:ind w:hanging="927" w:left="927"/>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осуществление технического обслуживания и ремонта слухового аппарата.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Услуги по обеспечению слуховым аппаратом оказываются </w:t>
      </w:r>
      <w:r>
        <w:rPr>
          <w:rFonts w:eastAsia="font300" w:cs="Times New Roman" w:ascii="Times New Roman" w:hAnsi="Times New Roman"/>
          <w:kern w:val="2"/>
          <w:sz w:val="24"/>
          <w:szCs w:val="24"/>
        </w:rPr>
        <w:t xml:space="preserve">в день обращения Получателя с Направлением Заказчика по месту нахождения Исполнителя, Соисполнителя </w:t>
      </w:r>
      <w:r>
        <w:rPr>
          <w:rFonts w:cs="Times New Roman" w:ascii="Times New Roman" w:hAnsi="Times New Roman"/>
          <w:sz w:val="24"/>
          <w:szCs w:val="24"/>
        </w:rPr>
        <w:t xml:space="preserve">или иному адресу места осуществления Исполнителем, Соисполнителем лицензируемого вида деятельности </w:t>
      </w:r>
      <w:r>
        <w:rPr>
          <w:rFonts w:cs="Times New Roman" w:ascii="Times New Roman" w:hAnsi="Times New Roman"/>
          <w:color w:themeColor="text1" w:val="000000"/>
          <w:sz w:val="24"/>
          <w:szCs w:val="24"/>
        </w:rPr>
        <w:t>в г. Севастополе</w:t>
      </w:r>
      <w:r>
        <w:rPr>
          <w:rFonts w:eastAsia="font300" w:cs="Times New Roman" w:ascii="Times New Roman" w:hAnsi="Times New Roman"/>
          <w:kern w:val="2"/>
          <w:sz w:val="24"/>
          <w:szCs w:val="24"/>
        </w:rPr>
        <w:t xml:space="preserve"> </w:t>
      </w:r>
      <w:r>
        <w:rPr>
          <w:rFonts w:cs="Times New Roman" w:ascii="Times New Roman" w:hAnsi="Times New Roman"/>
          <w:sz w:val="24"/>
          <w:szCs w:val="24"/>
        </w:rPr>
        <w:t>при этом срок выдачи Изделий отдельному Получателю не должен превышать 30 (тридцати) календарных дней со дня выдачи Заказчиком Реестра Получателей, в котором находятся сведения о таком Получателе.</w:t>
      </w:r>
    </w:p>
    <w:p>
      <w:pPr>
        <w:pStyle w:val="Normal"/>
        <w:numPr>
          <w:ilvl w:val="0"/>
          <w:numId w:val="1"/>
        </w:numPr>
        <w:spacing w:lineRule="auto" w:line="240" w:before="0" w:after="0"/>
        <w:ind w:hanging="567" w:left="567"/>
        <w:contextualSpacing/>
        <w:jc w:val="both"/>
        <w:rPr>
          <w:rFonts w:ascii="Times New Roman" w:hAnsi="Times New Roman" w:eastAsia="Calibri" w:cs="Times New Roman"/>
          <w:b/>
          <w:sz w:val="24"/>
          <w:szCs w:val="24"/>
          <w:lang w:eastAsia="x-none"/>
        </w:rPr>
      </w:pPr>
      <w:r>
        <w:rPr>
          <w:rFonts w:eastAsia="Calibri" w:cs="Times New Roman" w:ascii="Times New Roman" w:hAnsi="Times New Roman"/>
          <w:b/>
          <w:sz w:val="24"/>
          <w:szCs w:val="24"/>
          <w:lang w:eastAsia="x-non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Слуховой аппарат – электронный прибор, предназначенный для звукоусиления по воздушному или костному звукопроведению.</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ТР ТС 020/2011 «Технический регламент Таможенного союза. Электромагнитная совместимость технических средств», ТР ТС 004/2011 «Технический регламент Таможенного Союза. О безопасности низковольтного оборудования»,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51024-2012 «Аппараты слуховые электронные реабилитационные. Технические требования и методы испытаний», ГОСТ Р 50444-2020 (разделы 3,4) «Межгосударственный стандарт. Приборы, аппараты и оборудование медицинские», ГОСТ Р МЭК 60118-14-2003 «Аппараты слуховые программируемые».</w:t>
      </w:r>
    </w:p>
    <w:p>
      <w:pPr>
        <w:pStyle w:val="Normal"/>
        <w:numPr>
          <w:ilvl w:val="0"/>
          <w:numId w:val="1"/>
        </w:numPr>
        <w:spacing w:lineRule="auto" w:line="240" w:before="0" w:after="0"/>
        <w:ind w:hanging="567" w:left="567"/>
        <w:contextualSpacing/>
        <w:jc w:val="both"/>
        <w:rPr>
          <w:rFonts w:ascii="Times New Roman" w:hAnsi="Times New Roman" w:eastAsia="Calibri" w:cs="Times New Roman"/>
          <w:b/>
          <w:sz w:val="24"/>
          <w:szCs w:val="24"/>
          <w:lang w:val="x-none" w:eastAsia="x-none"/>
        </w:rPr>
      </w:pPr>
      <w:r>
        <w:rPr>
          <w:rFonts w:eastAsia="Calibri" w:cs="Times New Roman" w:ascii="Times New Roman" w:hAnsi="Times New Roman"/>
          <w:b/>
          <w:sz w:val="24"/>
          <w:szCs w:val="24"/>
          <w:lang w:val="x-none" w:eastAsia="x-none"/>
        </w:rPr>
        <w:t>Требования к упаковке слуховых аппаратов</w:t>
      </w:r>
      <w:r>
        <w:rPr>
          <w:rFonts w:eastAsia="Calibri" w:cs="Times New Roman" w:ascii="Times New Roman" w:hAnsi="Times New Roman"/>
          <w:b/>
          <w:sz w:val="24"/>
          <w:szCs w:val="24"/>
          <w:lang w:eastAsia="x-none"/>
        </w:rPr>
        <w:t>.</w:t>
      </w:r>
    </w:p>
    <w:p>
      <w:pPr>
        <w:pStyle w:val="Normal"/>
        <w:tabs>
          <w:tab w:val="clear" w:pos="709"/>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Упаковка слуховых аппаратов осуществляется в соответствии с требованиями </w:t>
      </w:r>
      <w:hyperlink r:id="rId2">
        <w:r>
          <w:rPr>
            <w:rFonts w:cs="Times New Roman" w:ascii="Times New Roman" w:hAnsi="Times New Roman"/>
            <w:sz w:val="24"/>
            <w:szCs w:val="24"/>
          </w:rPr>
          <w:t>ГОСТ Р 50444</w:t>
        </w:r>
      </w:hyperlink>
      <w:r>
        <w:rPr>
          <w:rFonts w:cs="Times New Roman" w:ascii="Times New Roman" w:hAnsi="Times New Roman"/>
          <w:sz w:val="24"/>
          <w:szCs w:val="24"/>
        </w:rPr>
        <w:t xml:space="preserve">-2020 «Межгосударственный стандарт.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pPr>
        <w:pStyle w:val="Normal"/>
        <w:numPr>
          <w:ilvl w:val="0"/>
          <w:numId w:val="1"/>
        </w:numPr>
        <w:spacing w:lineRule="auto" w:line="240" w:before="0" w:after="0"/>
        <w:ind w:hanging="567" w:left="567"/>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Требования к транспортировке слуховых аппаратов.</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Транспортная маркировка слуховых аппаратов осуществляется в соответствии с требованиями </w:t>
      </w:r>
      <w:hyperlink r:id="rId3">
        <w:r>
          <w:rPr>
            <w:rFonts w:cs="Times New Roman" w:ascii="Times New Roman" w:hAnsi="Times New Roman"/>
            <w:sz w:val="24"/>
            <w:szCs w:val="24"/>
          </w:rPr>
          <w:t>ГОСТ Р 50444</w:t>
        </w:r>
      </w:hyperlink>
      <w:r>
        <w:rPr>
          <w:rFonts w:cs="Times New Roman" w:ascii="Times New Roman" w:hAnsi="Times New Roman"/>
          <w:sz w:val="24"/>
          <w:szCs w:val="24"/>
        </w:rPr>
        <w:t>-2020 «Межгосударственный стандарт. Приборы, аппараты и оборудование медицинские». Транспортирование слуховых аппаратов должно проводиться по группе 5 ГОСТ 15150-69</w:t>
      </w:r>
      <w:r>
        <w:rPr>
          <w:rFonts w:cs="Times New Roman" w:ascii="Times New Roman" w:hAnsi="Times New Roman"/>
          <w:sz w:val="24"/>
          <w:szCs w:val="24"/>
          <w:shd w:fill="F6F6F6" w:val="clear"/>
        </w:rPr>
        <w:t xml:space="preserve"> «</w:t>
      </w:r>
      <w:r>
        <w:rPr>
          <w:rFonts w:cs="Times New Roman" w:ascii="Times New Roman" w:hAnsi="Times New Roman"/>
          <w:sz w:val="24"/>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w:t>
      </w:r>
    </w:p>
    <w:p>
      <w:pPr>
        <w:pStyle w:val="Normal"/>
        <w:numPr>
          <w:ilvl w:val="0"/>
          <w:numId w:val="1"/>
        </w:numPr>
        <w:spacing w:lineRule="auto" w:line="240" w:before="0" w:after="0"/>
        <w:ind w:hanging="425" w:left="567"/>
        <w:contextualSpacing/>
        <w:jc w:val="both"/>
        <w:rPr>
          <w:rFonts w:ascii="Times New Roman" w:hAnsi="Times New Roman" w:eastAsia="Calibri" w:cs="Times New Roman"/>
          <w:sz w:val="24"/>
          <w:szCs w:val="24"/>
        </w:rPr>
      </w:pPr>
      <w:r>
        <w:rPr>
          <w:rFonts w:eastAsia="Calibri" w:cs="Times New Roman" w:ascii="Times New Roman" w:hAnsi="Times New Roman"/>
          <w:b/>
          <w:sz w:val="24"/>
          <w:szCs w:val="24"/>
        </w:rPr>
        <w:t>Требования к маркировке и упаковке.</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Маркировка слуховых аппаратов осуществляется в соответствии с требованиями </w:t>
      </w:r>
      <w:hyperlink r:id="rId4">
        <w:r>
          <w:rPr>
            <w:rFonts w:cs="Times New Roman" w:ascii="Times New Roman" w:hAnsi="Times New Roman"/>
            <w:sz w:val="24"/>
            <w:szCs w:val="24"/>
          </w:rPr>
          <w:t>ГОСТ Р 50444</w:t>
        </w:r>
      </w:hyperlink>
      <w:r>
        <w:rPr>
          <w:rFonts w:cs="Times New Roman" w:ascii="Times New Roman" w:hAnsi="Times New Roman"/>
          <w:sz w:val="24"/>
          <w:szCs w:val="24"/>
        </w:rPr>
        <w:t>-2020 «Межгосударственный стандарт.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Наличие у Исполнителя и (или) привлекаемого им Соисполнителя действующей лицензии на осуществление медицинской деятельности при оказании первичной специализированной медико-санитарной помощи в амбулаторных условиях по виду работ (услуг) сурдология-оториноларингология или лицензии на осуществление медицинской деятельности при осуществлении амбулаторно-поликлинической медицинской помощи, в том числе, при осуществлении специализированной медицинской помощи по виду работ (услуг) сурдология-оториноларингология, в соответствии с положениями Федерального закона от 04.05.2011 № 99-ФЗ «О лицензировании отдельных видов деятельности».</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b/>
          <w:sz w:val="24"/>
          <w:szCs w:val="24"/>
        </w:rPr>
        <w:t>Гарантийный срок эксплуатации слухового аппарата 24 (двадцать четыре) месяца</w:t>
      </w:r>
      <w:r>
        <w:rPr>
          <w:rFonts w:cs="Times New Roman" w:ascii="Times New Roman" w:hAnsi="Times New Roman"/>
          <w:sz w:val="24"/>
          <w:szCs w:val="24"/>
        </w:rPr>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исчисляется с момента передачи слухового аппарата Получателю.</w:t>
      </w:r>
    </w:p>
    <w:p>
      <w:pPr>
        <w:pStyle w:val="Normal"/>
        <w:spacing w:before="0" w:after="160"/>
        <w:ind w:firstLine="567"/>
        <w:contextualSpacing/>
        <w:jc w:val="both"/>
        <w:rPr>
          <w:rFonts w:ascii="Times New Roman" w:hAnsi="Times New Roman" w:eastAsia="Calibri" w:cs="Times New Roman"/>
          <w:color w:themeColor="text1" w:val="000000"/>
          <w:sz w:val="24"/>
          <w:szCs w:val="24"/>
        </w:rPr>
      </w:pPr>
      <w:r>
        <w:rPr>
          <w:rFonts w:eastAsia="Calibri" w:cs="Times New Roman" w:ascii="Times New Roman" w:hAnsi="Times New Roman"/>
          <w:color w:themeColor="text1" w:val="000000"/>
          <w:sz w:val="24"/>
          <w:szCs w:val="24"/>
        </w:rPr>
        <w:t xml:space="preserve">При наступлении гарантийного случая </w:t>
      </w:r>
      <w:r>
        <w:rPr>
          <w:rFonts w:eastAsia="Calibri" w:cs="Times New Roman" w:ascii="Times New Roman" w:hAnsi="Times New Roman"/>
          <w:sz w:val="24"/>
          <w:szCs w:val="24"/>
        </w:rPr>
        <w:t xml:space="preserve">Исполнитель обязан предоставить Заказчику Акт (уведомление) о наступлении гарантийного случая, а также Акт выполнения обязательств по гарантии в течении 3 рабочих дней с момента наступления каждого случая, в течении срока действия гарантийных обязательств. При </w:t>
      </w:r>
      <w:r>
        <w:rPr>
          <w:rFonts w:eastAsia="Calibri" w:cs="Times New Roman" w:ascii="Times New Roman" w:hAnsi="Times New Roman"/>
          <w:color w:themeColor="text1" w:val="000000"/>
          <w:sz w:val="24"/>
          <w:szCs w:val="24"/>
        </w:rPr>
        <w:t>этом Заказчик и Получатель не несут расходов, связанных с осуществлением гарантийного ремонта.</w:t>
      </w:r>
    </w:p>
    <w:p>
      <w:pPr>
        <w:pStyle w:val="Normal"/>
        <w:tabs>
          <w:tab w:val="clear" w:pos="709"/>
          <w:tab w:val="left" w:pos="0" w:leader="none"/>
          <w:tab w:val="left" w:pos="426" w:leader="none"/>
        </w:tabs>
        <w:ind w:firstLine="567"/>
        <w:jc w:val="both"/>
        <w:rPr>
          <w:rFonts w:ascii="Times New Roman" w:hAnsi="Times New Roman" w:cs="Times New Roman"/>
          <w:sz w:val="24"/>
          <w:szCs w:val="24"/>
        </w:rPr>
      </w:pPr>
      <w:r>
        <w:rPr>
          <w:rFonts w:cs="Times New Roman" w:ascii="Times New Roman" w:hAnsi="Times New Roman"/>
          <w:sz w:val="24"/>
          <w:szCs w:val="24"/>
        </w:rPr>
        <w:t>В случае предъявления обоснованной претензии Получателя к качеству полученного Изделия, Исполнитель в течение 20 (двадцати) рабочих дней со дня получения обращения обязан произвести ремонт или замену имеющего недостатки или дефекты (брак) Изделия на аналогичное Изделие надлежащего качества. Замена, имеющего недостатки или дефекты (брак) Изделия, осуществляется Исполнителем за счет собственных средств по месту нахождения Исполнителя, или привлекаемого им для оказания услуг Соисполнителя или иному адресу места осуществления Исполнителем, Соисполнителем лицензируемого вида деятельности. Ремонт Изделий осуществляется в месте оказания услуг или в сервисных центрах Исполнителя (Соисполнителя), находящихся вне места оказания услуг на территории Российской Федерации.</w:t>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В случае если претензии Получателя относительно неисправности и дефектов Изделия, являются следствием некачественного оказания услуг по подбору Изделия, настройке Изделия Исполнитель безвозмездно в день обращения Получателя или иной срок, согласованный с Получателем, обязан устранить недостатки, оказанных Получателю услуг.</w:t>
      </w:r>
    </w:p>
    <w:p>
      <w:pPr>
        <w:pStyle w:val="Normal"/>
        <w:tabs>
          <w:tab w:val="clear" w:pos="709"/>
          <w:tab w:val="left" w:pos="0" w:leader="none"/>
          <w:tab w:val="left" w:pos="426" w:leader="none"/>
        </w:tabs>
        <w:spacing w:before="0" w:after="160"/>
        <w:ind w:firstLine="567"/>
        <w:jc w:val="both"/>
        <w:rPr>
          <w:rFonts w:ascii="Times New Roman" w:hAnsi="Times New Roman" w:eastAsia="Calibri" w:cs="Times New Roman"/>
          <w:color w:themeColor="text1" w:val="000000"/>
          <w:sz w:val="24"/>
          <w:szCs w:val="24"/>
          <w:shd w:fill="FFFFFF" w:val="clear"/>
        </w:rPr>
      </w:pPr>
      <w:r>
        <w:rPr>
          <w:rFonts w:cs="Times New Roman" w:ascii="Times New Roman" w:hAnsi="Times New Roman"/>
          <w:sz w:val="24"/>
          <w:szCs w:val="24"/>
        </w:rPr>
        <w:t>В случае если выход из строя, возникновение недостатков или дефектов Изделия произошел по причине его неправильной эксплуатации, нарушения Получателем правил использования Изделия, указанных в эксплуатационной документации на Изделие, Исполнитель не несет никаких гарантийных обязательств по его замене или ремонту.</w:t>
      </w:r>
    </w:p>
    <w:sectPr>
      <w:type w:val="nextPage"/>
      <w:pgSz w:w="11906" w:h="16838"/>
      <w:pgMar w:left="1065" w:right="851" w:gutter="0" w:header="0" w:top="1134"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Название Знак"/>
    <w:basedOn w:val="DefaultParagraphFont"/>
    <w:qFormat/>
    <w:rsid w:val="001547a3"/>
    <w:rPr>
      <w:rFonts w:ascii="Times New Roman" w:hAnsi="Times New Roman" w:eastAsia="Times New Roman" w:cs="Times New Roman"/>
      <w:b/>
      <w:sz w:val="26"/>
      <w:szCs w:val="20"/>
      <w:lang w:eastAsia="ru-RU"/>
    </w:rPr>
  </w:style>
  <w:style w:type="character" w:styleId="Style15" w:customStyle="1">
    <w:name w:val="Текст выноски Знак"/>
    <w:basedOn w:val="DefaultParagraphFont"/>
    <w:link w:val="BalloonText"/>
    <w:uiPriority w:val="99"/>
    <w:semiHidden/>
    <w:qFormat/>
    <w:rsid w:val="00b24917"/>
    <w:rPr>
      <w:rFonts w:ascii="Segoe UI" w:hAnsi="Segoe UI" w:cs="Segoe UI"/>
      <w:sz w:val="18"/>
      <w:szCs w:val="18"/>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Title">
    <w:name w:val="Title"/>
    <w:basedOn w:val="Normal"/>
    <w:link w:val="Style14"/>
    <w:qFormat/>
    <w:rsid w:val="001547a3"/>
    <w:pPr>
      <w:spacing w:lineRule="auto" w:line="240" w:before="0" w:after="0"/>
      <w:jc w:val="center"/>
    </w:pPr>
    <w:rPr>
      <w:rFonts w:ascii="Times New Roman" w:hAnsi="Times New Roman" w:eastAsia="Times New Roman" w:cs="Times New Roman"/>
      <w:b/>
      <w:sz w:val="26"/>
      <w:szCs w:val="20"/>
      <w:lang w:eastAsia="ru-RU"/>
    </w:rPr>
  </w:style>
  <w:style w:type="paragraph" w:styleId="ListParagraph">
    <w:name w:val="List Paragraph"/>
    <w:basedOn w:val="Normal"/>
    <w:uiPriority w:val="34"/>
    <w:qFormat/>
    <w:rsid w:val="001547a3"/>
    <w:pPr>
      <w:spacing w:before="0" w:after="160"/>
      <w:ind w:left="720"/>
      <w:contextualSpacing/>
    </w:pPr>
    <w:rPr/>
  </w:style>
  <w:style w:type="paragraph" w:styleId="BalloonText">
    <w:name w:val="Balloon Text"/>
    <w:basedOn w:val="Normal"/>
    <w:link w:val="Style15"/>
    <w:uiPriority w:val="99"/>
    <w:semiHidden/>
    <w:unhideWhenUsed/>
    <w:qFormat/>
    <w:rsid w:val="00b24917"/>
    <w:pPr>
      <w:spacing w:lineRule="auto" w:line="240" w:before="0" w:after="0"/>
    </w:pPr>
    <w:rPr>
      <w:rFonts w:ascii="Segoe UI" w:hAnsi="Segoe UI" w:cs="Segoe UI"/>
      <w:sz w:val="18"/>
      <w:szCs w:val="18"/>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1923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1200022377" TargetMode="External"/><Relationship Id="rId3" Type="http://schemas.openxmlformats.org/officeDocument/2006/relationships/hyperlink" Target="http://docs.cntd.ru/document/1200022377" TargetMode="External"/><Relationship Id="rId4" Type="http://schemas.openxmlformats.org/officeDocument/2006/relationships/hyperlink" Target="http://docs.cntd.ru/document/120002237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925B-4BEA-4A4D-BC0C-F32C3439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Application>LibreOffice/24.2.0.3$Windows_X86_64 LibreOffice_project/da48488a73ddd66ea24cf16bbc4f7b9c08e9bea1</Application>
  <AppVersion>15.0000</AppVersion>
  <Pages>7</Pages>
  <Words>1877</Words>
  <Characters>14240</Characters>
  <CharactersWithSpaces>15968</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2024-11-21T12:19:00Z</dcterms:created>
  <dc:creator>Евсеева Ольга Петровна</dc:creator>
  <dc:description/>
  <dc:language>ru-RU</dc:language>
  <cp:lastModifiedBy/>
  <cp:lastPrinted>2024-11-26T15:37:27Z</cp:lastPrinted>
  <dcterms:modified xsi:type="dcterms:W3CDTF">2024-12-02T15:53:42Z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