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Pr="00922222">
        <w:rPr>
          <w:rFonts w:ascii="Times New Roman" w:eastAsia="Times New Roman" w:hAnsi="Times New Roman" w:cs="Times New Roman"/>
          <w:sz w:val="24"/>
          <w:szCs w:val="24"/>
          <w:lang w:eastAsia="ru-RU"/>
        </w:rPr>
        <w:t xml:space="preserve"> 2</w:t>
      </w:r>
      <w:r w:rsidR="00A606FF">
        <w:rPr>
          <w:rFonts w:ascii="Times New Roman" w:eastAsia="Times New Roman" w:hAnsi="Times New Roman" w:cs="Times New Roman"/>
          <w:sz w:val="24"/>
          <w:szCs w:val="24"/>
          <w:lang w:eastAsia="ru-RU"/>
        </w:rPr>
        <w:t>3</w:t>
      </w:r>
      <w:r w:rsidRPr="00922222">
        <w:rPr>
          <w:rFonts w:ascii="Times New Roman" w:eastAsia="Times New Roman" w:hAnsi="Times New Roman" w:cs="Times New Roman"/>
          <w:sz w:val="24"/>
          <w:szCs w:val="24"/>
          <w:lang w:eastAsia="ru-RU"/>
        </w:rPr>
        <w:t>0 000 </w:t>
      </w:r>
      <w:r w:rsidR="00A606FF">
        <w:rPr>
          <w:rFonts w:ascii="Times New Roman" w:eastAsia="Times New Roman" w:hAnsi="Times New Roman" w:cs="Times New Roman"/>
          <w:sz w:val="24"/>
          <w:szCs w:val="24"/>
          <w:lang w:eastAsia="ru-RU"/>
        </w:rPr>
        <w:t>1</w:t>
      </w:r>
      <w:r w:rsidRPr="00922222">
        <w:rPr>
          <w:rFonts w:ascii="Times New Roman" w:eastAsia="Times New Roman" w:hAnsi="Times New Roman" w:cs="Times New Roman"/>
          <w:sz w:val="24"/>
          <w:szCs w:val="24"/>
          <w:lang w:eastAsia="ru-RU"/>
        </w:rPr>
        <w:t>00,00 руб.</w:t>
      </w:r>
    </w:p>
    <w:p w:rsidR="00922222" w:rsidRPr="00922222" w:rsidRDefault="000753E7"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922222">
        <w:rPr>
          <w:rFonts w:ascii="Times New Roman" w:eastAsia="Times New Roman" w:hAnsi="Times New Roman" w:cs="Times New Roman"/>
          <w:sz w:val="24"/>
          <w:szCs w:val="24"/>
          <w:lang w:eastAsia="ru-RU"/>
        </w:rPr>
        <w:t>0 000 </w:t>
      </w:r>
      <w:r>
        <w:rPr>
          <w:rFonts w:ascii="Times New Roman" w:eastAsia="Times New Roman" w:hAnsi="Times New Roman" w:cs="Times New Roman"/>
          <w:sz w:val="24"/>
          <w:szCs w:val="24"/>
          <w:lang w:eastAsia="ru-RU"/>
        </w:rPr>
        <w:t>1</w:t>
      </w:r>
      <w:r w:rsidRPr="00922222">
        <w:rPr>
          <w:rFonts w:ascii="Times New Roman" w:eastAsia="Times New Roman" w:hAnsi="Times New Roman" w:cs="Times New Roman"/>
          <w:sz w:val="24"/>
          <w:szCs w:val="24"/>
          <w:lang w:eastAsia="ru-RU"/>
        </w:rPr>
        <w:t>00,00</w:t>
      </w: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стопы</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культю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пробная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слоистого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пластика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основе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связующих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смол.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Вкладной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элемент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вспененных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низкопрофильная</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Calibri" w:hAnsi="Times New Roman" w:cs="Times New Roman"/>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и(или) </w:t>
            </w:r>
            <w:proofErr w:type="spellStart"/>
            <w:r w:rsidRPr="00922222">
              <w:rPr>
                <w:rFonts w:ascii="Times New Roman" w:eastAsia="Calibri" w:hAnsi="Times New Roman" w:cs="Times New Roman"/>
                <w:sz w:val="24"/>
                <w:szCs w:val="24"/>
                <w:lang w:eastAsia="ru-RU"/>
              </w:rPr>
              <w:t>бесшарнирная</w:t>
            </w:r>
            <w:proofErr w:type="spellEnd"/>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полиуретановая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Крепление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протеза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использованием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ленты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«контакт»</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герметизирующим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коленным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бандажом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шерстяные</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хлопчатобумажные</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 4 </w:t>
            </w:r>
            <w:r w:rsidRPr="00922222">
              <w:rPr>
                <w:rFonts w:ascii="Times New Roman" w:eastAsia="Calibri" w:hAnsi="Times New Roman" w:cs="Times New Roman"/>
                <w:sz w:val="24"/>
                <w:szCs w:val="24"/>
                <w:lang w:eastAsia="ru-RU"/>
              </w:rPr>
              <w:t>шт.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выбору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Постоянный.</w:t>
            </w:r>
          </w:p>
        </w:tc>
        <w:tc>
          <w:tcPr>
            <w:tcW w:w="1391" w:type="dxa"/>
            <w:shd w:val="clear" w:color="auto" w:fill="auto"/>
          </w:tcPr>
          <w:p w:rsidR="00922222" w:rsidRPr="00922222" w:rsidRDefault="00922222" w:rsidP="00922222">
            <w:pPr>
              <w:spacing w:after="0"/>
              <w:ind w:right="65"/>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2.</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3.</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бедра для купания</w:t>
            </w:r>
          </w:p>
        </w:tc>
        <w:tc>
          <w:tcPr>
            <w:tcW w:w="5387" w:type="dxa"/>
            <w:shd w:val="clear" w:color="auto" w:fill="auto"/>
          </w:tcPr>
          <w:p w:rsidR="00922222" w:rsidRPr="00922222" w:rsidRDefault="00922222" w:rsidP="00922222">
            <w:pPr>
              <w:tabs>
                <w:tab w:val="center" w:pos="532"/>
                <w:tab w:val="center" w:pos="1850"/>
                <w:tab w:val="center" w:pos="2970"/>
                <w:tab w:val="center" w:pos="4263"/>
              </w:tabs>
              <w:spacing w:after="0" w:line="192" w:lineRule="auto"/>
              <w:ind w:right="33"/>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для </w:t>
            </w:r>
            <w:r w:rsidRPr="00922222">
              <w:rPr>
                <w:rFonts w:ascii="Times New Roman" w:eastAsia="Times New Roman" w:hAnsi="Times New Roman" w:cs="Times New Roman"/>
                <w:color w:val="000000"/>
                <w:sz w:val="24"/>
                <w:szCs w:val="24"/>
                <w:lang w:eastAsia="ru-RU"/>
              </w:rPr>
              <w:tab/>
              <w:t xml:space="preserve">купания. Формообразующая часть облицовки – жесткая полиуретановая (по показаниям). Пробная приемная гильза по слепку из листового термопласта. Постоянная приемная гильза по слепку из слоистого пластика на основе </w:t>
            </w:r>
            <w:r w:rsidRPr="00922222">
              <w:rPr>
                <w:rFonts w:ascii="Times New Roman" w:eastAsia="Times New Roman" w:hAnsi="Times New Roman" w:cs="Times New Roman"/>
                <w:color w:val="000000"/>
                <w:sz w:val="24"/>
                <w:szCs w:val="24"/>
                <w:lang w:eastAsia="ru-RU"/>
              </w:rPr>
              <w:lastRenderedPageBreak/>
              <w:t xml:space="preserve">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Коленный модуль влагозащищенный одноосный и(или) многоосный, с механическим управлением, облегченный, с функцией ручного замка и(или) с гидравлическим управлением (по показаниям).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влагозащищенное с использованием замка для полимерных чехлов и(или) вакуумное и(или) с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4.</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немодульный,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немодульный, в том числе при врожденном недоразвитии, шинно-кожаный. Приемная гильза: индивидуальная кожаная по слепку (без вкладной гильзы).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гильзы (манжеты с шинами) бедра, с использованием кожаных полуфабрикатов (без шин). Чехлы шерстяные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5.</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немодульный,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немодульный, в том числе при врожденном недоразвитии, шинно-кожаный. Формообразующая часть облицовки – полиуретановая эластичная. Косметическое покрытие облицовки – чулки полиамидные ортопедические. Приемная гильза: индивидуальная кожаная по слепку (без вкладной гильзы).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6.</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w:t>
            </w:r>
            <w:r w:rsidRPr="00922222">
              <w:rPr>
                <w:rFonts w:ascii="Times New Roman" w:eastAsia="Times New Roman" w:hAnsi="Times New Roman" w:cs="Times New Roman"/>
                <w:color w:val="000000"/>
                <w:sz w:val="24"/>
                <w:szCs w:val="24"/>
                <w:lang w:eastAsia="ru-RU"/>
              </w:rPr>
              <w:lastRenderedPageBreak/>
              <w:t>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7.</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8.</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firstLine="14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w:t>
            </w:r>
            <w:r w:rsidRPr="00922222">
              <w:rPr>
                <w:rFonts w:ascii="Times New Roman" w:eastAsia="Times New Roman" w:hAnsi="Times New Roman" w:cs="Times New Roman"/>
                <w:color w:val="000000"/>
                <w:sz w:val="24"/>
                <w:szCs w:val="24"/>
                <w:lang w:eastAsia="ru-RU"/>
              </w:rPr>
              <w:lastRenderedPageBreak/>
              <w:t>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9.</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firstLine="14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и(или)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10.</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пневматическим регулированием фазы сгибания и разгибания и(или) одноосный с пневматическим управлением фазой переноса и механизмом торможения под нагрузкой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 –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11.</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гидравлический с раздельной регулировкой фазы сгибания и разгибания и(или) одноосный гидравлический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12.</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бедра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модульный,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числе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врожденном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недоразвитии,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высокого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уровня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активности.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Формообразующая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часть</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облицовки</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полиуретановая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эластичная.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Косметическое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покрытие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облицовки</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чулки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ортопедические.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Пробная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слоистого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пластика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основе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связующих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смол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возможностью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изменения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объема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Вкладной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элемент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вспененных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сверхмягкого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w:t>
            </w:r>
            <w:proofErr w:type="spellStart"/>
            <w:r w:rsidRPr="00922222">
              <w:rPr>
                <w:rFonts w:ascii="Times New Roman" w:eastAsia="Calibri" w:hAnsi="Times New Roman" w:cs="Times New Roman"/>
                <w:sz w:val="24"/>
                <w:szCs w:val="24"/>
                <w:lang w:eastAsia="ru-RU"/>
              </w:rPr>
              <w:t>супрасофта</w:t>
            </w:r>
            <w:proofErr w:type="spellEnd"/>
            <w:r w:rsidRPr="00922222">
              <w:rPr>
                <w:rFonts w:ascii="Times New Roman" w:eastAsia="Calibri" w:hAnsi="Times New Roman" w:cs="Times New Roman"/>
                <w:sz w:val="24"/>
                <w:szCs w:val="24"/>
                <w:lang w:eastAsia="ru-RU"/>
              </w:rPr>
              <w:t>)</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полимерных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Регулировочно- соединительные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нагрузку,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соответствующую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весу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Коленный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модуль</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многоосный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независимым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пневматическим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фазы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сгибания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разгибания</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одноосный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пневматическим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управлением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фазой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переноса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механизмом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торможения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под</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нагрузкой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Стопа</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Calibri" w:hAnsi="Times New Roman" w:cs="Times New Roman"/>
                <w:sz w:val="24"/>
                <w:szCs w:val="24"/>
                <w:lang w:eastAsia="ru-RU"/>
              </w:rPr>
              <w:t>углепластиковая</w:t>
            </w:r>
            <w:proofErr w:type="spellEnd"/>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высоким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уровнем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энергосбережения,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встроенным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сферическим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торсионным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адаптером</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гидравлическим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голеностопным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шарниром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Дополнительное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регулировочно</w:t>
            </w:r>
            <w:r w:rsidRPr="00922222">
              <w:rPr>
                <w:rFonts w:ascii="Times New Roman" w:eastAsia="Times New Roman" w:hAnsi="Times New Roman" w:cs="Times New Roman"/>
                <w:sz w:val="24"/>
                <w:szCs w:val="24"/>
                <w:lang w:eastAsia="ru-RU"/>
              </w:rPr>
              <w:t>–</w:t>
            </w:r>
            <w:r w:rsidRPr="00922222">
              <w:rPr>
                <w:rFonts w:ascii="Times New Roman" w:eastAsia="Calibri" w:hAnsi="Times New Roman" w:cs="Times New Roman"/>
                <w:sz w:val="24"/>
                <w:szCs w:val="24"/>
                <w:lang w:eastAsia="ru-RU"/>
              </w:rPr>
              <w:t>соединительное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устройство</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надколенное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поворотное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Крепление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использованием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замка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для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полимерных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чехлов</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вакуумное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бандажом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шерстяные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хлопчатобумажные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 4 </w:t>
            </w:r>
            <w:r w:rsidRPr="00922222">
              <w:rPr>
                <w:rFonts w:ascii="Times New Roman" w:eastAsia="Calibri" w:hAnsi="Times New Roman" w:cs="Times New Roman"/>
                <w:sz w:val="24"/>
                <w:szCs w:val="24"/>
                <w:lang w:eastAsia="ru-RU"/>
              </w:rPr>
              <w:t>шт.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выбору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13.</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модульный, в том числе при </w:t>
            </w:r>
            <w:r w:rsidRPr="00922222">
              <w:rPr>
                <w:rFonts w:ascii="Times New Roman" w:eastAsia="Times New Roman" w:hAnsi="Times New Roman" w:cs="Times New Roman"/>
                <w:color w:val="000000"/>
                <w:sz w:val="24"/>
                <w:szCs w:val="24"/>
                <w:lang w:eastAsia="ru-RU"/>
              </w:rPr>
              <w:lastRenderedPageBreak/>
              <w:t>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lastRenderedPageBreak/>
              <w:t xml:space="preserve">Протез бедра модульный, в том числе при врожденном недоразвитии, высокого уровня активности. Формообразующая часть облицовки </w:t>
            </w:r>
            <w:r w:rsidRPr="00922222">
              <w:rPr>
                <w:rFonts w:ascii="Times New Roman" w:eastAsia="Times New Roman" w:hAnsi="Times New Roman" w:cs="Times New Roman"/>
                <w:color w:val="000000"/>
                <w:sz w:val="24"/>
                <w:szCs w:val="24"/>
                <w:lang w:eastAsia="ru-RU"/>
              </w:rPr>
              <w:lastRenderedPageBreak/>
              <w:t>–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гидравлический с раздельной регулировкой фазы сгибания и разгибания и(или) одноосный гидравлический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высоким уровнем энергосбережения, со встроенным сферическим торсионным адаптером и(или) с гидравлическим голеностопным шарниром (по показаниям). Дополнительное регулировочно –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14.</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при вычленении бедра модульный</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при вычленении бедра модульный.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соответствующую весу Получателя. Коленный модуль с зависимым механическим регулированием фаз сгибания - разгибания, многоосный. Тазобедренный модуль одноосный.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поясное с использованием ленты «контакт».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bookmarkStart w:id="0" w:name="_GoBack" w:colFirst="2" w:colLast="2"/>
            <w:r w:rsidRPr="00922222">
              <w:rPr>
                <w:rFonts w:ascii="Times New Roman" w:eastAsia="Calibri" w:hAnsi="Times New Roman" w:cs="Times New Roman"/>
                <w:sz w:val="24"/>
                <w:szCs w:val="24"/>
                <w:lang w:eastAsia="ru-RU"/>
              </w:rPr>
              <w:t>15.</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при вычленении бедра модульный</w:t>
            </w:r>
          </w:p>
        </w:tc>
        <w:tc>
          <w:tcPr>
            <w:tcW w:w="5387" w:type="dxa"/>
            <w:shd w:val="clear" w:color="auto" w:fill="auto"/>
          </w:tcPr>
          <w:p w:rsidR="00922222" w:rsidRPr="00922222" w:rsidRDefault="00922222" w:rsidP="00922222">
            <w:pPr>
              <w:tabs>
                <w:tab w:val="right" w:pos="4815"/>
              </w:tabs>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при вычленении бедра модульный.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соответствующую весу Получателя. Коленный модуль многоосный, с независимым пневматическим регулированием фазы сгибания и разгибания. Тазобедренный модуль одноосный.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w:t>
            </w:r>
            <w:r w:rsidRPr="00922222">
              <w:rPr>
                <w:rFonts w:ascii="Times New Roman" w:eastAsia="Times New Roman" w:hAnsi="Times New Roman" w:cs="Times New Roman"/>
                <w:color w:val="000000"/>
                <w:sz w:val="24"/>
                <w:szCs w:val="24"/>
                <w:lang w:eastAsia="ru-RU"/>
              </w:rPr>
              <w:lastRenderedPageBreak/>
              <w:t>энергосбережения. Дополнительное регулировочно–соединительное устройство – надколенное поворотное устройство (по показаниям). Крепление поясное с использованием ленты «контакт» через шлевки.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bookmarkEnd w:id="0"/>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w:t>
      </w:r>
      <w:r w:rsidRPr="00922222">
        <w:rPr>
          <w:rFonts w:ascii="Times New Roman" w:eastAsia="Times New Roman" w:hAnsi="Times New Roman" w:cs="Times New Roman"/>
          <w:color w:val="000000"/>
          <w:sz w:val="24"/>
          <w:szCs w:val="24"/>
          <w:lang w:eastAsia="ru-RU"/>
        </w:rPr>
        <w:lastRenderedPageBreak/>
        <w:t>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w:t>
      </w:r>
      <w:r w:rsidRPr="00922222">
        <w:rPr>
          <w:rFonts w:ascii="Times New Roman" w:eastAsia="Times New Roman" w:hAnsi="Times New Roman" w:cs="Times New Roman"/>
          <w:color w:val="000000"/>
          <w:sz w:val="24"/>
          <w:szCs w:val="24"/>
          <w:lang w:eastAsia="ru-RU"/>
        </w:rPr>
        <w:lastRenderedPageBreak/>
        <w:t xml:space="preserve">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922222">
        <w:rPr>
          <w:rFonts w:ascii="Times New Roman" w:eastAsia="Times New Roman" w:hAnsi="Times New Roman" w:cs="Times New Roman"/>
          <w:color w:val="000000"/>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0753E7"/>
    <w:rsid w:val="003E69E4"/>
    <w:rsid w:val="008E0768"/>
    <w:rsid w:val="00922222"/>
    <w:rsid w:val="00A606FF"/>
    <w:rsid w:val="00AE1E3F"/>
    <w:rsid w:val="00D613E7"/>
    <w:rsid w:val="00E30DC0"/>
    <w:rsid w:val="00F9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6017</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4</cp:revision>
  <dcterms:created xsi:type="dcterms:W3CDTF">2024-10-11T07:35:00Z</dcterms:created>
  <dcterms:modified xsi:type="dcterms:W3CDTF">2024-10-29T15:23:00Z</dcterms:modified>
</cp:coreProperties>
</file>