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D42" w:rsidRPr="003B5D42" w:rsidRDefault="003B5D42" w:rsidP="003B5D42">
      <w:pPr>
        <w:widowControl w:val="0"/>
        <w:suppressAutoHyphens/>
        <w:jc w:val="right"/>
        <w:rPr>
          <w:lang w:eastAsia="en-US"/>
        </w:rPr>
      </w:pPr>
      <w:r>
        <w:rPr>
          <w:lang w:eastAsia="en-US"/>
        </w:rPr>
        <w:t>Приложение № 1</w:t>
      </w:r>
    </w:p>
    <w:p w:rsidR="003B5D42" w:rsidRPr="00600B35" w:rsidRDefault="003B5D42" w:rsidP="00600B35">
      <w:pPr>
        <w:widowControl w:val="0"/>
        <w:suppressAutoHyphens/>
        <w:jc w:val="right"/>
        <w:rPr>
          <w:lang w:eastAsia="en-US"/>
        </w:rPr>
      </w:pPr>
      <w:r w:rsidRPr="003B5D42">
        <w:rPr>
          <w:lang w:eastAsia="en-US"/>
        </w:rPr>
        <w:t>к извещению о проведении закупки</w:t>
      </w:r>
    </w:p>
    <w:p w:rsidR="003B5D42" w:rsidRDefault="003B5D42" w:rsidP="00E65039">
      <w:pPr>
        <w:jc w:val="center"/>
        <w:rPr>
          <w:b/>
        </w:rPr>
      </w:pPr>
    </w:p>
    <w:p w:rsidR="00E65039" w:rsidRDefault="00E65039" w:rsidP="00E65039">
      <w:pPr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E65039" w:rsidRDefault="00E65039" w:rsidP="00E65039">
      <w:pPr>
        <w:jc w:val="center"/>
        <w:rPr>
          <w:b/>
        </w:rPr>
      </w:pPr>
      <w:r>
        <w:rPr>
          <w:b/>
        </w:rPr>
        <w:t>на поставку бандажей (далее – Товар) для социального обеспечения граждан (далее – Получатели) в 2025году</w:t>
      </w:r>
    </w:p>
    <w:p w:rsidR="00E65039" w:rsidRDefault="00E65039" w:rsidP="00E65039">
      <w:pPr>
        <w:jc w:val="center"/>
        <w:rPr>
          <w:b/>
        </w:rPr>
      </w:pPr>
    </w:p>
    <w:p w:rsidR="00E65039" w:rsidRDefault="00E65039" w:rsidP="00E65039">
      <w:pPr>
        <w:jc w:val="both"/>
        <w:rPr>
          <w:color w:val="FF0000"/>
        </w:rPr>
      </w:pPr>
      <w:r>
        <w:rPr>
          <w:b/>
        </w:rPr>
        <w:t>Срок поставки Товара Получателям:</w:t>
      </w:r>
      <w:r>
        <w:t xml:space="preserve"> </w:t>
      </w:r>
      <w:proofErr w:type="gramStart"/>
      <w:r>
        <w:t>с даты получения</w:t>
      </w:r>
      <w:proofErr w:type="gramEnd"/>
      <w:r>
        <w:t xml:space="preserve"> от Заказчика реестра получателей Товара, но не ранее 09.01.2025, и до 31.08.2025 включительно.</w:t>
      </w:r>
    </w:p>
    <w:p w:rsidR="00E65039" w:rsidRDefault="00E65039" w:rsidP="00E65039">
      <w:pPr>
        <w:jc w:val="both"/>
      </w:pPr>
      <w:r>
        <w:rPr>
          <w:b/>
        </w:rPr>
        <w:t>Место доставки Товара:</w:t>
      </w:r>
      <w:r>
        <w:t xml:space="preserve"> Санкт-Петербург и Ленинградская область.</w:t>
      </w:r>
    </w:p>
    <w:p w:rsidR="00E65039" w:rsidRDefault="00E65039" w:rsidP="00E65039">
      <w:pPr>
        <w:jc w:val="center"/>
        <w:rPr>
          <w:b/>
        </w:rPr>
      </w:pPr>
    </w:p>
    <w:p w:rsidR="00E65039" w:rsidRPr="00583FD9" w:rsidRDefault="00E65039" w:rsidP="00E65039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3FD9">
        <w:rPr>
          <w:rFonts w:ascii="Times New Roman" w:hAnsi="Times New Roman" w:cs="Times New Roman"/>
          <w:sz w:val="24"/>
          <w:szCs w:val="24"/>
        </w:rPr>
        <w:t>Поставщик обязан обеспечить поступление Товара по наименованию, в количестве и в сроки, определенные календарным планом:</w:t>
      </w:r>
    </w:p>
    <w:p w:rsidR="00E65039" w:rsidRDefault="00E65039" w:rsidP="00E65039">
      <w:pPr>
        <w:ind w:left="360"/>
        <w:jc w:val="both"/>
      </w:pPr>
    </w:p>
    <w:tbl>
      <w:tblPr>
        <w:tblpPr w:leftFromText="180" w:rightFromText="180" w:bottomFromText="16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2694"/>
        <w:gridCol w:w="5385"/>
        <w:gridCol w:w="1277"/>
      </w:tblGrid>
      <w:tr w:rsidR="00E65039" w:rsidTr="002016DD">
        <w:trPr>
          <w:trHeight w:val="7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039" w:rsidRDefault="00E65039" w:rsidP="002016DD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039" w:rsidRDefault="00E65039" w:rsidP="002016DD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Товара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039" w:rsidRDefault="00E65039" w:rsidP="002016DD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Периоды поставки на 2025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039" w:rsidRDefault="00E65039" w:rsidP="002016DD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Кол-во</w:t>
            </w:r>
          </w:p>
          <w:p w:rsidR="00E65039" w:rsidRDefault="00E65039" w:rsidP="002016DD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(шт.)</w:t>
            </w:r>
          </w:p>
        </w:tc>
      </w:tr>
      <w:tr w:rsidR="00E65039" w:rsidTr="002016DD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039" w:rsidRPr="00284839" w:rsidRDefault="00E65039" w:rsidP="002016DD">
            <w:r w:rsidRPr="00284839">
              <w:t>Бандаж ортопедический на верхнюю конечность для улучшения лимфовенозного оттока, в том числе после ампутации молочной железы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039" w:rsidRDefault="00E65039" w:rsidP="002016DD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2 (двух) рабочих дней </w:t>
            </w:r>
            <w:proofErr w:type="gramStart"/>
            <w:r>
              <w:rPr>
                <w:lang w:eastAsia="en-US"/>
              </w:rPr>
              <w:t>с даты заключения</w:t>
            </w:r>
            <w:proofErr w:type="gramEnd"/>
            <w:r>
              <w:rPr>
                <w:lang w:eastAsia="en-US"/>
              </w:rPr>
              <w:t xml:space="preserve"> государственного контракта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65039" w:rsidTr="002016DD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15 (пятнадцати) календарных дней </w:t>
            </w:r>
            <w:proofErr w:type="gramStart"/>
            <w:r>
              <w:rPr>
                <w:lang w:eastAsia="en-US"/>
              </w:rPr>
              <w:t>с даты заключения</w:t>
            </w:r>
            <w:proofErr w:type="gramEnd"/>
            <w:r>
              <w:rPr>
                <w:lang w:eastAsia="en-US"/>
              </w:rPr>
              <w:t xml:space="preserve"> государственного контракта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</w:t>
            </w:r>
          </w:p>
        </w:tc>
      </w:tr>
      <w:tr w:rsidR="00E65039" w:rsidTr="002016DD">
        <w:trPr>
          <w:trHeight w:val="20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5039" w:rsidRPr="00284839" w:rsidRDefault="00E65039" w:rsidP="002016DD">
            <w:r w:rsidRPr="00284839">
              <w:t xml:space="preserve">Бандаж ортопедический поддерживающий или фиксирующий из хлопчатобумажных или эластичных тканей, в том числе бандаж-грация-трусы, </w:t>
            </w:r>
            <w:proofErr w:type="gramStart"/>
            <w:r w:rsidRPr="00284839">
              <w:t>бандаж-трусы</w:t>
            </w:r>
            <w:proofErr w:type="gramEnd"/>
            <w:r w:rsidRPr="00284839">
              <w:t>, бандаж-панталоны на область живота при ослаблении мышц брюшной стенки, опущении органов, после операций на органах брюшной полости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039" w:rsidRDefault="00E65039" w:rsidP="002016DD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2 (двух) рабочих дней </w:t>
            </w:r>
            <w:proofErr w:type="gramStart"/>
            <w:r>
              <w:rPr>
                <w:lang w:eastAsia="en-US"/>
              </w:rPr>
              <w:t>с даты заключения</w:t>
            </w:r>
            <w:proofErr w:type="gramEnd"/>
            <w:r>
              <w:rPr>
                <w:lang w:eastAsia="en-US"/>
              </w:rPr>
              <w:t xml:space="preserve"> государственного контракта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65039" w:rsidTr="002016DD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15 (пятнадцати) календарных дней </w:t>
            </w:r>
            <w:proofErr w:type="gramStart"/>
            <w:r>
              <w:rPr>
                <w:lang w:eastAsia="en-US"/>
              </w:rPr>
              <w:t>с даты заключения</w:t>
            </w:r>
            <w:proofErr w:type="gramEnd"/>
            <w:r>
              <w:rPr>
                <w:lang w:eastAsia="en-US"/>
              </w:rPr>
              <w:t xml:space="preserve"> государственного контракта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183</w:t>
            </w:r>
          </w:p>
        </w:tc>
      </w:tr>
      <w:tr w:rsidR="00E65039" w:rsidTr="002016DD">
        <w:trPr>
          <w:trHeight w:val="825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5039" w:rsidRPr="00CC2488" w:rsidRDefault="00E65039" w:rsidP="002016DD">
            <w:r w:rsidRPr="00284839">
              <w:t xml:space="preserve">Бандаж грыжевой (паховый, </w:t>
            </w:r>
            <w:proofErr w:type="spellStart"/>
            <w:r w:rsidRPr="00284839">
              <w:t>скротальный</w:t>
            </w:r>
            <w:proofErr w:type="spellEnd"/>
            <w:r w:rsidRPr="00284839">
              <w:t>) односторонний, двухсторонний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2 (двух) рабочих дней </w:t>
            </w:r>
            <w:proofErr w:type="gramStart"/>
            <w:r>
              <w:rPr>
                <w:lang w:eastAsia="en-US"/>
              </w:rPr>
              <w:t>с даты заключения</w:t>
            </w:r>
            <w:proofErr w:type="gramEnd"/>
            <w:r>
              <w:rPr>
                <w:lang w:eastAsia="en-US"/>
              </w:rPr>
              <w:t xml:space="preserve"> государственного контракта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65039" w:rsidTr="002016DD">
        <w:trPr>
          <w:trHeight w:val="82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Pr="00284839" w:rsidRDefault="00E65039" w:rsidP="002016DD">
            <w:pPr>
              <w:jc w:val="center"/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15 (пятнадцати) календарных дней </w:t>
            </w:r>
            <w:proofErr w:type="gramStart"/>
            <w:r>
              <w:rPr>
                <w:lang w:eastAsia="en-US"/>
              </w:rPr>
              <w:t>с даты заключения</w:t>
            </w:r>
            <w:proofErr w:type="gramEnd"/>
            <w:r>
              <w:rPr>
                <w:lang w:eastAsia="en-US"/>
              </w:rPr>
              <w:t xml:space="preserve"> государственного контракта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</w:tr>
      <w:tr w:rsidR="00E65039" w:rsidTr="002016DD">
        <w:trPr>
          <w:trHeight w:val="413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5039" w:rsidRPr="00CC2488" w:rsidRDefault="00E65039" w:rsidP="002016DD">
            <w:r w:rsidRPr="00284839">
              <w:t>Бандаж на коленный сустав (наколенник)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2 (двух) рабочих дней </w:t>
            </w:r>
            <w:proofErr w:type="gramStart"/>
            <w:r>
              <w:rPr>
                <w:lang w:eastAsia="en-US"/>
              </w:rPr>
              <w:t>с даты заключения</w:t>
            </w:r>
            <w:proofErr w:type="gramEnd"/>
            <w:r>
              <w:rPr>
                <w:lang w:eastAsia="en-US"/>
              </w:rPr>
              <w:t xml:space="preserve"> государственного контракта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65039" w:rsidTr="002016DD">
        <w:trPr>
          <w:trHeight w:val="412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Pr="00284839" w:rsidRDefault="00E65039" w:rsidP="002016DD">
            <w:pPr>
              <w:jc w:val="center"/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15 (пятнадцати) календарных дней </w:t>
            </w:r>
            <w:proofErr w:type="gramStart"/>
            <w:r>
              <w:rPr>
                <w:lang w:eastAsia="en-US"/>
              </w:rPr>
              <w:t>с даты заключения</w:t>
            </w:r>
            <w:proofErr w:type="gramEnd"/>
            <w:r>
              <w:rPr>
                <w:lang w:eastAsia="en-US"/>
              </w:rPr>
              <w:t xml:space="preserve"> государственного контракта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835</w:t>
            </w:r>
          </w:p>
        </w:tc>
      </w:tr>
      <w:tr w:rsidR="00E65039" w:rsidTr="002016DD">
        <w:trPr>
          <w:trHeight w:val="413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5039" w:rsidRPr="00CC2488" w:rsidRDefault="00E65039" w:rsidP="002016DD">
            <w:r w:rsidRPr="00284839">
              <w:t>Бандаж на лучезапястный сустав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2 (двух) рабочих дней </w:t>
            </w:r>
            <w:proofErr w:type="gramStart"/>
            <w:r>
              <w:rPr>
                <w:lang w:eastAsia="en-US"/>
              </w:rPr>
              <w:t>с даты заключения</w:t>
            </w:r>
            <w:proofErr w:type="gramEnd"/>
            <w:r>
              <w:rPr>
                <w:lang w:eastAsia="en-US"/>
              </w:rPr>
              <w:t xml:space="preserve"> государственного контракта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65039" w:rsidTr="002016DD">
        <w:trPr>
          <w:trHeight w:val="412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Pr="00284839" w:rsidRDefault="00E65039" w:rsidP="002016DD">
            <w:pPr>
              <w:jc w:val="center"/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15 (пятнадцати) календарных дней </w:t>
            </w:r>
            <w:proofErr w:type="gramStart"/>
            <w:r>
              <w:rPr>
                <w:lang w:eastAsia="en-US"/>
              </w:rPr>
              <w:t>с даты заключения</w:t>
            </w:r>
            <w:proofErr w:type="gramEnd"/>
            <w:r>
              <w:rPr>
                <w:lang w:eastAsia="en-US"/>
              </w:rPr>
              <w:t xml:space="preserve"> государственного контракта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E65039" w:rsidTr="002016DD">
        <w:trPr>
          <w:trHeight w:val="278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5039" w:rsidRPr="00CC2488" w:rsidRDefault="00E65039" w:rsidP="002016DD">
            <w:r w:rsidRPr="00284839">
              <w:t>Бандаж на запястье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2 (двух) рабочих дней </w:t>
            </w:r>
            <w:proofErr w:type="gramStart"/>
            <w:r>
              <w:rPr>
                <w:lang w:eastAsia="en-US"/>
              </w:rPr>
              <w:t>с даты заключения</w:t>
            </w:r>
            <w:proofErr w:type="gramEnd"/>
            <w:r>
              <w:rPr>
                <w:lang w:eastAsia="en-US"/>
              </w:rPr>
              <w:t xml:space="preserve"> государственного контракта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65039" w:rsidTr="002016DD">
        <w:trPr>
          <w:trHeight w:val="277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Pr="00284839" w:rsidRDefault="00E65039" w:rsidP="002016DD">
            <w:pPr>
              <w:jc w:val="center"/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15 (пятнадцати) календарных дней </w:t>
            </w:r>
            <w:proofErr w:type="gramStart"/>
            <w:r>
              <w:rPr>
                <w:lang w:eastAsia="en-US"/>
              </w:rPr>
              <w:t>с даты заключения</w:t>
            </w:r>
            <w:proofErr w:type="gramEnd"/>
            <w:r>
              <w:rPr>
                <w:lang w:eastAsia="en-US"/>
              </w:rPr>
              <w:t xml:space="preserve"> государственного контракта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65039" w:rsidTr="002016DD">
        <w:trPr>
          <w:trHeight w:val="413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5039" w:rsidRPr="00CC2488" w:rsidRDefault="00E65039" w:rsidP="002016DD">
            <w:r w:rsidRPr="00284839">
              <w:t>Бандаж на локтевой сустав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2 (двух) рабочих дней </w:t>
            </w:r>
            <w:proofErr w:type="gramStart"/>
            <w:r>
              <w:rPr>
                <w:lang w:eastAsia="en-US"/>
              </w:rPr>
              <w:t>с даты заключения</w:t>
            </w:r>
            <w:proofErr w:type="gramEnd"/>
            <w:r>
              <w:rPr>
                <w:lang w:eastAsia="en-US"/>
              </w:rPr>
              <w:t xml:space="preserve"> государственного контракта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65039" w:rsidTr="002016DD">
        <w:trPr>
          <w:trHeight w:val="412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Pr="00284839" w:rsidRDefault="00E65039" w:rsidP="002016DD">
            <w:pPr>
              <w:jc w:val="center"/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15 (пятнадцати) календарных дней </w:t>
            </w:r>
            <w:proofErr w:type="gramStart"/>
            <w:r>
              <w:rPr>
                <w:lang w:eastAsia="en-US"/>
              </w:rPr>
              <w:t>с даты заключения</w:t>
            </w:r>
            <w:proofErr w:type="gramEnd"/>
            <w:r>
              <w:rPr>
                <w:lang w:eastAsia="en-US"/>
              </w:rPr>
              <w:t xml:space="preserve"> государственного контракта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E65039" w:rsidTr="002016DD">
        <w:trPr>
          <w:trHeight w:val="413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5039" w:rsidRPr="00CC2488" w:rsidRDefault="00E65039" w:rsidP="002016DD">
            <w:r w:rsidRPr="00284839">
              <w:t>Бандаж на плечевой сустав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2 (двух) рабочих дней </w:t>
            </w:r>
            <w:proofErr w:type="gramStart"/>
            <w:r>
              <w:rPr>
                <w:lang w:eastAsia="en-US"/>
              </w:rPr>
              <w:t>с даты заключения</w:t>
            </w:r>
            <w:proofErr w:type="gramEnd"/>
            <w:r>
              <w:rPr>
                <w:lang w:eastAsia="en-US"/>
              </w:rPr>
              <w:t xml:space="preserve"> государственного контракта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65039" w:rsidTr="002016DD">
        <w:trPr>
          <w:trHeight w:val="412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Pr="00284839" w:rsidRDefault="00E65039" w:rsidP="002016DD">
            <w:pPr>
              <w:jc w:val="center"/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15 (пятнадцати) календарных дней </w:t>
            </w:r>
            <w:proofErr w:type="gramStart"/>
            <w:r>
              <w:rPr>
                <w:lang w:eastAsia="en-US"/>
              </w:rPr>
              <w:t>с даты заключения</w:t>
            </w:r>
            <w:proofErr w:type="gramEnd"/>
            <w:r>
              <w:rPr>
                <w:lang w:eastAsia="en-US"/>
              </w:rPr>
              <w:t xml:space="preserve"> государственного контракта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E65039" w:rsidTr="002016DD">
        <w:trPr>
          <w:trHeight w:val="413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5039" w:rsidRPr="00CC2488" w:rsidRDefault="00E65039" w:rsidP="002016DD">
            <w:r w:rsidRPr="00284839">
              <w:t>Бандаж на шейный отдел позвоночника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2 (двух) рабочих дней </w:t>
            </w:r>
            <w:proofErr w:type="gramStart"/>
            <w:r>
              <w:rPr>
                <w:lang w:eastAsia="en-US"/>
              </w:rPr>
              <w:t>с даты заключения</w:t>
            </w:r>
            <w:proofErr w:type="gramEnd"/>
            <w:r>
              <w:rPr>
                <w:lang w:eastAsia="en-US"/>
              </w:rPr>
              <w:t xml:space="preserve"> государственного контракта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65039" w:rsidTr="002016DD">
        <w:trPr>
          <w:trHeight w:val="412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Pr="00284839" w:rsidRDefault="00E65039" w:rsidP="002016DD">
            <w:pPr>
              <w:jc w:val="center"/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15 (пятнадцати) календарных дней </w:t>
            </w:r>
            <w:proofErr w:type="gramStart"/>
            <w:r>
              <w:rPr>
                <w:lang w:eastAsia="en-US"/>
              </w:rPr>
              <w:t>с даты заключения</w:t>
            </w:r>
            <w:proofErr w:type="gramEnd"/>
            <w:r>
              <w:rPr>
                <w:lang w:eastAsia="en-US"/>
              </w:rPr>
              <w:t xml:space="preserve"> государственного контракта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137</w:t>
            </w:r>
          </w:p>
        </w:tc>
      </w:tr>
      <w:tr w:rsidR="00E65039" w:rsidTr="002016DD">
        <w:trPr>
          <w:trHeight w:val="435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rPr>
                <w:lang w:eastAsia="en-US"/>
              </w:rPr>
            </w:pPr>
            <w:r w:rsidRPr="00284839">
              <w:t>Бандаж на тазобедренный сустав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2 (двух) рабочих дней </w:t>
            </w:r>
            <w:proofErr w:type="gramStart"/>
            <w:r>
              <w:rPr>
                <w:lang w:eastAsia="en-US"/>
              </w:rPr>
              <w:t>с даты заключения</w:t>
            </w:r>
            <w:proofErr w:type="gramEnd"/>
            <w:r>
              <w:rPr>
                <w:lang w:eastAsia="en-US"/>
              </w:rPr>
              <w:t xml:space="preserve"> государственного контракта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65039" w:rsidTr="002016DD">
        <w:trPr>
          <w:trHeight w:val="82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Pr="00284839" w:rsidRDefault="00E65039" w:rsidP="002016DD">
            <w:pPr>
              <w:jc w:val="center"/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15 (пятнадцати) календарных дней </w:t>
            </w:r>
            <w:proofErr w:type="gramStart"/>
            <w:r>
              <w:rPr>
                <w:lang w:eastAsia="en-US"/>
              </w:rPr>
              <w:t>с даты заключения</w:t>
            </w:r>
            <w:proofErr w:type="gramEnd"/>
            <w:r>
              <w:rPr>
                <w:lang w:eastAsia="en-US"/>
              </w:rPr>
              <w:t xml:space="preserve"> государственного контракта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E65039" w:rsidTr="002016DD">
        <w:trPr>
          <w:trHeight w:val="435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rPr>
                <w:lang w:eastAsia="en-US"/>
              </w:rPr>
            </w:pPr>
            <w:r w:rsidRPr="00284839">
              <w:t>Бандаж на голеностопный сустав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2 (двух) рабочих дней </w:t>
            </w:r>
            <w:proofErr w:type="gramStart"/>
            <w:r>
              <w:rPr>
                <w:lang w:eastAsia="en-US"/>
              </w:rPr>
              <w:t>с даты заключения</w:t>
            </w:r>
            <w:proofErr w:type="gramEnd"/>
            <w:r>
              <w:rPr>
                <w:lang w:eastAsia="en-US"/>
              </w:rPr>
              <w:t xml:space="preserve"> государственного контракта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65039" w:rsidTr="002016DD">
        <w:trPr>
          <w:trHeight w:val="43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Pr="00284839" w:rsidRDefault="00E65039" w:rsidP="002016DD">
            <w:pPr>
              <w:jc w:val="center"/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15 (пятнадцати) календарных дней </w:t>
            </w:r>
            <w:proofErr w:type="gramStart"/>
            <w:r>
              <w:rPr>
                <w:lang w:eastAsia="en-US"/>
              </w:rPr>
              <w:t>с даты заключения</w:t>
            </w:r>
            <w:proofErr w:type="gramEnd"/>
            <w:r>
              <w:rPr>
                <w:lang w:eastAsia="en-US"/>
              </w:rPr>
              <w:t xml:space="preserve"> государственного контракта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</w:tr>
      <w:tr w:rsidR="00E65039" w:rsidTr="002016DD">
        <w:trPr>
          <w:trHeight w:val="20"/>
        </w:trPr>
        <w:tc>
          <w:tcPr>
            <w:tcW w:w="8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039" w:rsidRDefault="00E65039" w:rsidP="002016DD">
            <w:pPr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1 495</w:t>
            </w:r>
          </w:p>
        </w:tc>
      </w:tr>
    </w:tbl>
    <w:p w:rsidR="00E65039" w:rsidRDefault="00E65039" w:rsidP="00E65039">
      <w:pPr>
        <w:jc w:val="both"/>
      </w:pPr>
    </w:p>
    <w:p w:rsidR="00E65039" w:rsidRDefault="00E65039" w:rsidP="00E65039">
      <w:pPr>
        <w:jc w:val="both"/>
      </w:pPr>
    </w:p>
    <w:p w:rsidR="00E65039" w:rsidRDefault="00E65039" w:rsidP="00E65039">
      <w:pPr>
        <w:jc w:val="both"/>
      </w:pPr>
      <w:r>
        <w:t xml:space="preserve">2. </w:t>
      </w:r>
      <w:proofErr w:type="gramStart"/>
      <w:r>
        <w:t>Поставщик обязан представить Заказчику копии действующих регистрационных удостоверений, выданных Федеральной службой по надзору в сфере здравоохранения (в случае, если Товар подлежит регистрации), и (или) декларации о соответствии или сертификата соответствия поставляемого Товара либо иных документов, свидетельствующих о качестве и безопасности Товара, предусмотренных действующим законодательством Российской Федерации, при поступлении Товара.</w:t>
      </w:r>
      <w:proofErr w:type="gramEnd"/>
      <w:r>
        <w:t xml:space="preserve">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новых.  </w:t>
      </w:r>
    </w:p>
    <w:p w:rsidR="00E65039" w:rsidRDefault="00E65039" w:rsidP="00E65039">
      <w:pPr>
        <w:jc w:val="both"/>
      </w:pPr>
    </w:p>
    <w:p w:rsidR="00E65039" w:rsidRDefault="00E65039" w:rsidP="00E65039">
      <w:pPr>
        <w:jc w:val="both"/>
      </w:pPr>
      <w:r>
        <w:t>3.Товар должен отвечать следующим требованиям:</w:t>
      </w:r>
    </w:p>
    <w:p w:rsidR="00D93F45" w:rsidRDefault="00D93F45" w:rsidP="00E65039">
      <w:pPr>
        <w:jc w:val="both"/>
      </w:pPr>
    </w:p>
    <w:p w:rsidR="00E65039" w:rsidRDefault="00E65039" w:rsidP="00E65039">
      <w:pPr>
        <w:jc w:val="both"/>
      </w:pPr>
    </w:p>
    <w:tbl>
      <w:tblPr>
        <w:tblW w:w="51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0"/>
        <w:gridCol w:w="1726"/>
        <w:gridCol w:w="1713"/>
        <w:gridCol w:w="4796"/>
        <w:gridCol w:w="1121"/>
        <w:gridCol w:w="692"/>
      </w:tblGrid>
      <w:tr w:rsidR="00E65039" w:rsidTr="002016DD">
        <w:trPr>
          <w:trHeight w:val="19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039" w:rsidRDefault="00E65039" w:rsidP="002016D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039" w:rsidRDefault="00E65039" w:rsidP="002016DD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Товара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Товара по КТРУ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039" w:rsidRDefault="00E65039" w:rsidP="002016DD">
            <w:pPr>
              <w:spacing w:line="254" w:lineRule="auto"/>
              <w:ind w:firstLine="284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Характеристика Товара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039" w:rsidRDefault="00E65039" w:rsidP="002016DD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Значение характеристики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039" w:rsidRDefault="00E65039" w:rsidP="002016D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 (шт.)</w:t>
            </w:r>
          </w:p>
        </w:tc>
      </w:tr>
      <w:tr w:rsidR="00E65039" w:rsidTr="002016DD">
        <w:trPr>
          <w:trHeight w:val="19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039" w:rsidRDefault="00E65039" w:rsidP="002016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Pr="00284839" w:rsidRDefault="00E65039" w:rsidP="002016DD">
            <w:r w:rsidRPr="00284839">
              <w:t>Бандаж ортопедический на верхнюю конечность для улучшения лимфовенозного оттока, в том числе после ампутации молочной железы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spacing w:line="257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spacing w:line="257" w:lineRule="auto"/>
              <w:ind w:firstLine="284"/>
            </w:pPr>
            <w:r w:rsidRPr="00481AB9">
              <w:t>Протезно-ортопедическое издели</w:t>
            </w:r>
            <w:proofErr w:type="gramStart"/>
            <w:r w:rsidRPr="00481AB9">
              <w:t>е-</w:t>
            </w:r>
            <w:proofErr w:type="gramEnd"/>
            <w:r w:rsidRPr="00481AB9">
              <w:t xml:space="preserve"> Бандаж ортопедический на верхнюю конечность для улучшения лимфовенозного оттока, в том числе после ампутации молочной железы. Изделие </w:t>
            </w:r>
            <w:proofErr w:type="gramStart"/>
            <w:r w:rsidRPr="00481AB9">
              <w:t>фиксирующие</w:t>
            </w:r>
            <w:proofErr w:type="gramEnd"/>
            <w:r w:rsidRPr="00481AB9">
              <w:t xml:space="preserve">, эластичные. Фиксация на плече эластичной лентой. Класс компрессии, </w:t>
            </w:r>
            <w:r w:rsidRPr="00481AB9">
              <w:rPr>
                <w:lang w:val="en-US"/>
              </w:rPr>
              <w:t>I</w:t>
            </w:r>
            <w:r w:rsidRPr="00481AB9">
              <w:t xml:space="preserve">, </w:t>
            </w:r>
            <w:r w:rsidRPr="00481AB9">
              <w:rPr>
                <w:lang w:val="en-US"/>
              </w:rPr>
              <w:t>II</w:t>
            </w:r>
            <w:r w:rsidRPr="00481AB9">
              <w:t xml:space="preserve">.  </w:t>
            </w:r>
          </w:p>
          <w:p w:rsidR="00E65039" w:rsidRDefault="00E65039" w:rsidP="002016DD">
            <w:pPr>
              <w:widowControl w:val="0"/>
              <w:ind w:firstLine="284"/>
            </w:pPr>
            <w:r w:rsidRPr="00481AB9">
              <w:t>Возможность подбора в соответствии с антропометрическими данными Получателей</w:t>
            </w:r>
          </w:p>
          <w:p w:rsidR="00E65039" w:rsidRDefault="00E65039" w:rsidP="002016DD">
            <w:pPr>
              <w:spacing w:line="257" w:lineRule="auto"/>
              <w:ind w:firstLine="284"/>
              <w:rPr>
                <w:lang w:eastAsia="en-U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Pr="000F1752" w:rsidRDefault="00E65039" w:rsidP="002016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</w:tr>
      <w:tr w:rsidR="00E65039" w:rsidTr="002016DD">
        <w:trPr>
          <w:trHeight w:val="19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spacing w:line="256" w:lineRule="auto"/>
              <w:rPr>
                <w:lang w:eastAsia="en-US"/>
              </w:rPr>
            </w:pPr>
            <w:r w:rsidRPr="00284839">
              <w:t xml:space="preserve">Бандаж ортопедический поддерживающий или фиксирующий из хлопчатобумажных или эластичных тканей, в том числе бандаж-грация-трусы, </w:t>
            </w:r>
            <w:proofErr w:type="gramStart"/>
            <w:r w:rsidRPr="00284839">
              <w:t>бандаж-трусы</w:t>
            </w:r>
            <w:proofErr w:type="gramEnd"/>
            <w:r w:rsidRPr="00284839">
              <w:t>, бандаж-панталоны на область живота при ослаблении мышц брюшной стенки, опущении органов, после операций на органах брюшной полости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spacing w:line="257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Pr="009E0FF8" w:rsidRDefault="00E65039" w:rsidP="002016DD">
            <w:pPr>
              <w:ind w:firstLine="284"/>
            </w:pPr>
            <w:proofErr w:type="gramStart"/>
            <w:r w:rsidRPr="009E0FF8">
              <w:t>Предназначен</w:t>
            </w:r>
            <w:proofErr w:type="gramEnd"/>
            <w:r w:rsidRPr="009E0FF8">
              <w:t xml:space="preserve"> для укрепления брюшной стенки, предотвращения опущения внутренних органов, использования после операций на органах брюшной полости.</w:t>
            </w:r>
          </w:p>
          <w:p w:rsidR="00E65039" w:rsidRPr="00D12209" w:rsidRDefault="00E65039" w:rsidP="002016DD">
            <w:pPr>
              <w:spacing w:line="257" w:lineRule="auto"/>
              <w:ind w:firstLine="284"/>
              <w:rPr>
                <w:lang w:eastAsia="en-US"/>
              </w:rPr>
            </w:pPr>
            <w:r w:rsidRPr="009E0FF8">
              <w:t>Возможность подбора в соответствии с антропометрическими данными и имеющейся патологии Получателя.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Pr="000F1752" w:rsidRDefault="00E65039" w:rsidP="002016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E65039" w:rsidTr="002016DD">
        <w:trPr>
          <w:trHeight w:val="19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Pr="00CC2488" w:rsidRDefault="00E65039" w:rsidP="002016DD">
            <w:r w:rsidRPr="00284839">
              <w:t xml:space="preserve">Бандаж грыжевой (паховый, </w:t>
            </w:r>
            <w:proofErr w:type="spellStart"/>
            <w:r w:rsidRPr="00284839">
              <w:t>скротальный</w:t>
            </w:r>
            <w:proofErr w:type="spellEnd"/>
            <w:r w:rsidRPr="00284839">
              <w:t>) односторонний, двухсторонний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jc w:val="center"/>
            </w:pPr>
            <w:r>
              <w:t>-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Pr="001E4F44" w:rsidRDefault="00E65039" w:rsidP="002016DD">
            <w:pPr>
              <w:ind w:firstLine="284"/>
            </w:pPr>
            <w:r w:rsidRPr="001E4F44">
              <w:t>Материалы, из которых изготовлено Изделие не токсичны, не вызывают раздражение и аллергию Получателя при применении Изделия назначенным способом.</w:t>
            </w:r>
          </w:p>
          <w:p w:rsidR="00E65039" w:rsidRPr="001E4F44" w:rsidRDefault="00E65039" w:rsidP="002016DD">
            <w:pPr>
              <w:ind w:firstLine="284"/>
            </w:pPr>
            <w:r>
              <w:t>Односторонний и/или</w:t>
            </w:r>
            <w:r w:rsidRPr="001E4F44">
              <w:t xml:space="preserve"> двухсторонний</w:t>
            </w:r>
          </w:p>
          <w:p w:rsidR="00E65039" w:rsidRPr="001E4F44" w:rsidRDefault="00E65039" w:rsidP="002016DD">
            <w:pPr>
              <w:ind w:firstLine="284"/>
            </w:pPr>
            <w:r w:rsidRPr="001E4F44">
              <w:t>Эластичный пояс</w:t>
            </w:r>
          </w:p>
          <w:p w:rsidR="00E65039" w:rsidRPr="001E4F44" w:rsidRDefault="00E65039" w:rsidP="002016DD">
            <w:pPr>
              <w:ind w:firstLine="284"/>
            </w:pPr>
            <w:r w:rsidRPr="001E4F44">
              <w:t>Соединительный ремень</w:t>
            </w:r>
          </w:p>
          <w:p w:rsidR="00E65039" w:rsidRPr="001E4F44" w:rsidRDefault="00E65039" w:rsidP="002016DD">
            <w:pPr>
              <w:ind w:firstLine="284"/>
            </w:pPr>
            <w:r w:rsidRPr="001E4F44">
              <w:t>Возможность подбора Изделия в соответствии с антропометрическими данными Получателя.</w:t>
            </w:r>
          </w:p>
          <w:p w:rsidR="00E65039" w:rsidRDefault="00E65039" w:rsidP="002016DD">
            <w:pPr>
              <w:spacing w:line="256" w:lineRule="auto"/>
              <w:ind w:firstLine="284"/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</w:tr>
      <w:tr w:rsidR="00E65039" w:rsidTr="002016DD">
        <w:trPr>
          <w:trHeight w:val="19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Pr="00284839" w:rsidRDefault="00E65039" w:rsidP="002016DD">
            <w:r w:rsidRPr="00284839">
              <w:t xml:space="preserve">Бандаж на </w:t>
            </w:r>
            <w:r w:rsidRPr="00284839">
              <w:lastRenderedPageBreak/>
              <w:t>коленный сустав (наколенник)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jc w:val="center"/>
            </w:pPr>
            <w:r>
              <w:lastRenderedPageBreak/>
              <w:t>-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Pr="009E0FF8" w:rsidRDefault="00E65039" w:rsidP="002016DD">
            <w:pPr>
              <w:widowControl w:val="0"/>
              <w:ind w:firstLine="284"/>
            </w:pPr>
            <w:r w:rsidRPr="009E0FF8">
              <w:t xml:space="preserve">Бандаж предназначен для фиксации </w:t>
            </w:r>
            <w:r w:rsidRPr="009E0FF8">
              <w:lastRenderedPageBreak/>
              <w:t>коленного сустава</w:t>
            </w:r>
          </w:p>
          <w:p w:rsidR="00E65039" w:rsidRDefault="00E65039" w:rsidP="002016DD">
            <w:pPr>
              <w:spacing w:line="256" w:lineRule="auto"/>
              <w:ind w:firstLine="284"/>
            </w:pPr>
            <w:r w:rsidRPr="009E0FF8">
              <w:t>Элементы фиксации и возможность подбора в соответствии с антропометрическими данными Получателя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Наличие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836</w:t>
            </w:r>
          </w:p>
        </w:tc>
      </w:tr>
      <w:tr w:rsidR="00E65039" w:rsidTr="002016DD">
        <w:trPr>
          <w:trHeight w:val="19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Pr="00CC2488" w:rsidRDefault="00E65039" w:rsidP="002016DD">
            <w:r w:rsidRPr="00284839">
              <w:t>Бандаж на лучезапястный сустав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Pr="00CC2488" w:rsidRDefault="00E65039" w:rsidP="002016DD">
            <w:pPr>
              <w:jc w:val="center"/>
            </w:pPr>
            <w:r w:rsidRPr="0060091A">
              <w:t>Бандаж на лучезапястный сустав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spacing w:line="256" w:lineRule="auto"/>
              <w:ind w:firstLine="284"/>
            </w:pPr>
            <w:r w:rsidRPr="00E86C0F">
              <w:t>Бандаж предназначен для фиксации лучезапястного сустава</w:t>
            </w:r>
          </w:p>
          <w:p w:rsidR="00E65039" w:rsidRDefault="00E65039" w:rsidP="002016DD">
            <w:pPr>
              <w:spacing w:line="256" w:lineRule="auto"/>
              <w:ind w:firstLine="284"/>
            </w:pPr>
            <w:r w:rsidRPr="00E86C0F">
              <w:t>Возможность подбора в соответствии с антропометрическими данными Получателя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</w:tr>
      <w:tr w:rsidR="00E65039" w:rsidTr="002016DD">
        <w:trPr>
          <w:trHeight w:val="19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Pr="00CC2488" w:rsidRDefault="00E65039" w:rsidP="002016DD">
            <w:r w:rsidRPr="00284839">
              <w:t>Бандаж на запястье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Pr="00CC2488" w:rsidRDefault="00E65039" w:rsidP="002016DD">
            <w:pPr>
              <w:jc w:val="center"/>
            </w:pPr>
            <w:r w:rsidRPr="0060091A">
              <w:t>Бандаж на запястье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spacing w:line="256" w:lineRule="auto"/>
              <w:ind w:firstLine="284"/>
            </w:pPr>
            <w:r w:rsidRPr="00E86C0F">
              <w:t>Банд</w:t>
            </w:r>
            <w:r>
              <w:t xml:space="preserve">аж предназначен для поддержания, </w:t>
            </w:r>
            <w:r w:rsidRPr="00E86C0F">
              <w:t>пораженного (травмированного) сустава</w:t>
            </w:r>
          </w:p>
          <w:p w:rsidR="00E65039" w:rsidRDefault="00E65039" w:rsidP="002016DD">
            <w:pPr>
              <w:spacing w:line="256" w:lineRule="auto"/>
              <w:ind w:firstLine="284"/>
            </w:pPr>
            <w:r w:rsidRPr="00E86C0F">
              <w:t>Материалы, из которых изготовлено Изделие, не должны быть токсичными, вызывать раздражение и аллергию Получателя при применении Изделия назначенным способом</w:t>
            </w:r>
          </w:p>
          <w:p w:rsidR="00E65039" w:rsidRDefault="00E65039" w:rsidP="002016DD">
            <w:pPr>
              <w:spacing w:line="256" w:lineRule="auto"/>
              <w:ind w:firstLine="284"/>
            </w:pPr>
            <w:r w:rsidRPr="001523FD">
              <w:t>Возможность подбора Изделия в соответствии с антропометрическими данными Получателя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E65039" w:rsidTr="002016DD">
        <w:trPr>
          <w:trHeight w:val="19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Pr="00284839" w:rsidRDefault="00E65039" w:rsidP="002016DD">
            <w:r w:rsidRPr="00284839">
              <w:t>Бандаж на локтевой сустав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Pr="00CC2488" w:rsidRDefault="00E65039" w:rsidP="002016DD">
            <w:pPr>
              <w:jc w:val="center"/>
            </w:pPr>
            <w:r w:rsidRPr="0060091A">
              <w:t>Бандаж на локтевой сустав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spacing w:line="256" w:lineRule="auto"/>
              <w:ind w:firstLine="284"/>
            </w:pPr>
            <w:r w:rsidRPr="00E86C0F">
              <w:t xml:space="preserve">Бандаж предназначен для фиксации </w:t>
            </w:r>
            <w:r>
              <w:t>локтевого</w:t>
            </w:r>
            <w:r w:rsidRPr="00E86C0F">
              <w:t xml:space="preserve"> сустава</w:t>
            </w:r>
          </w:p>
          <w:p w:rsidR="00E65039" w:rsidRDefault="00E65039" w:rsidP="002016DD">
            <w:pPr>
              <w:spacing w:line="256" w:lineRule="auto"/>
              <w:ind w:firstLine="284"/>
            </w:pPr>
            <w:r w:rsidRPr="00E86C0F">
              <w:t>Возможность подбора в соответствии с антропометрическими данными Получателя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E65039" w:rsidTr="002016DD">
        <w:trPr>
          <w:trHeight w:val="19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Pr="00CC2488" w:rsidRDefault="00E65039" w:rsidP="002016DD">
            <w:r w:rsidRPr="00284839">
              <w:t>Бандаж на плечевой сустав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Pr="00CC2488" w:rsidRDefault="00E65039" w:rsidP="002016DD">
            <w:pPr>
              <w:jc w:val="center"/>
            </w:pPr>
            <w:r w:rsidRPr="0060091A">
              <w:t>Бандаж на плечевой сустав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spacing w:line="256" w:lineRule="auto"/>
              <w:ind w:firstLine="284"/>
            </w:pPr>
            <w:r w:rsidRPr="00E86C0F">
              <w:t xml:space="preserve">Бандаж предназначен для фиксации </w:t>
            </w:r>
            <w:r>
              <w:t>плечевого</w:t>
            </w:r>
            <w:r w:rsidRPr="00E86C0F">
              <w:t xml:space="preserve"> сустава</w:t>
            </w:r>
          </w:p>
          <w:p w:rsidR="00E65039" w:rsidRDefault="00E65039" w:rsidP="002016DD">
            <w:pPr>
              <w:spacing w:line="256" w:lineRule="auto"/>
              <w:ind w:firstLine="284"/>
            </w:pPr>
            <w:r w:rsidRPr="008E4AB0">
              <w:t>Возможность подбора в соответствии с антропометрическими данными Получателя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E65039" w:rsidTr="002016DD">
        <w:trPr>
          <w:trHeight w:val="19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Pr="00284839" w:rsidRDefault="00E65039" w:rsidP="002016DD">
            <w:r w:rsidRPr="00284839">
              <w:t>Бандаж на шейный отдел позвоночника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Pr="00CC2488" w:rsidRDefault="00E65039" w:rsidP="002016DD">
            <w:pPr>
              <w:jc w:val="center"/>
            </w:pPr>
            <w:r w:rsidRPr="0060091A">
              <w:t>Бандаж на шейный отдел позвоночника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Pr="00E86C0F" w:rsidRDefault="00E65039" w:rsidP="002016DD">
            <w:pPr>
              <w:spacing w:line="256" w:lineRule="auto"/>
              <w:ind w:firstLine="284"/>
            </w:pPr>
            <w:r w:rsidRPr="00E86C0F">
              <w:t>Протезно-ортопедическое изделие обеспечивает: умеренную фиксацию шейного отдела позвоночника и головы; разгрузку тел шейных позвонков и мышечно-связочного аппарата шеи; нормализацию кровообращения головы и шеи; ограничение движения в шейном отделе позвоночника. Изготовление в соответствии с антропометрическими данными Получателя.</w:t>
            </w:r>
          </w:p>
          <w:p w:rsidR="00E65039" w:rsidRPr="00E86C0F" w:rsidRDefault="00E65039" w:rsidP="002016DD">
            <w:pPr>
              <w:spacing w:line="256" w:lineRule="auto"/>
              <w:ind w:firstLine="284"/>
            </w:pPr>
            <w:r w:rsidRPr="00E86C0F">
              <w:t>Материал изделия – эластичная ткань</w:t>
            </w:r>
          </w:p>
          <w:p w:rsidR="00E65039" w:rsidRDefault="00E65039" w:rsidP="002016DD">
            <w:pPr>
              <w:spacing w:line="256" w:lineRule="auto"/>
              <w:ind w:firstLine="284"/>
            </w:pPr>
            <w:r w:rsidRPr="00E86C0F">
              <w:t>Элементы крепления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</w:t>
            </w:r>
          </w:p>
        </w:tc>
      </w:tr>
      <w:tr w:rsidR="00E65039" w:rsidTr="002016DD">
        <w:trPr>
          <w:trHeight w:val="19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Pr="00CC2488" w:rsidRDefault="00E65039" w:rsidP="002016DD">
            <w:r w:rsidRPr="00284839">
              <w:t>Бандаж на тазобедренный сустав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Pr="00CC2488" w:rsidRDefault="00E65039" w:rsidP="002016DD">
            <w:pPr>
              <w:jc w:val="center"/>
            </w:pPr>
            <w:r w:rsidRPr="0060091A">
              <w:t>Бандаж на тазобедренный сустав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Pr="00923A6E" w:rsidRDefault="00E65039" w:rsidP="002016DD">
            <w:pPr>
              <w:widowControl w:val="0"/>
            </w:pPr>
            <w:r w:rsidRPr="00923A6E">
              <w:t xml:space="preserve">Бандаж </w:t>
            </w:r>
            <w:r w:rsidRPr="00923A6E">
              <w:rPr>
                <w:bCs/>
              </w:rPr>
              <w:t>предназначен для</w:t>
            </w:r>
            <w:r w:rsidRPr="00923A6E">
              <w:t xml:space="preserve"> стабилизации, согревания, улучшения кровообращения в мышцах; создания компрессии и уменьшения болевых ощущений в области тазобедренного сустава.</w:t>
            </w:r>
          </w:p>
          <w:p w:rsidR="00E65039" w:rsidRDefault="00E65039" w:rsidP="002016DD">
            <w:pPr>
              <w:spacing w:line="256" w:lineRule="auto"/>
              <w:ind w:firstLine="284"/>
            </w:pPr>
            <w:r w:rsidRPr="00923A6E">
              <w:t>Возможность подбора в соответствии с антропометрическими данными Получателя.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E65039" w:rsidTr="002016DD">
        <w:trPr>
          <w:trHeight w:val="19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Pr="00284839" w:rsidRDefault="00E65039" w:rsidP="002016DD">
            <w:r w:rsidRPr="00284839">
              <w:t>Бандаж на голеностопный сустав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Pr="00CC2488" w:rsidRDefault="00E65039" w:rsidP="002016DD">
            <w:pPr>
              <w:jc w:val="center"/>
            </w:pPr>
            <w:r w:rsidRPr="0060091A">
              <w:t>Бандаж на голеностопный сустав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Pr="00E86C0F" w:rsidRDefault="00E65039" w:rsidP="002016DD">
            <w:pPr>
              <w:spacing w:line="256" w:lineRule="auto"/>
              <w:ind w:firstLine="284"/>
            </w:pPr>
            <w:r w:rsidRPr="00E86C0F">
              <w:t>Бандаж предназначен для фиксации голеностопного сустава</w:t>
            </w:r>
          </w:p>
          <w:p w:rsidR="00E65039" w:rsidRDefault="00E65039" w:rsidP="002016DD">
            <w:pPr>
              <w:spacing w:line="256" w:lineRule="auto"/>
              <w:ind w:firstLine="284"/>
            </w:pPr>
            <w:r w:rsidRPr="00E86C0F">
              <w:t>Возможность подбора в соответствии с антропометрическими данными Получателя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spacing w:line="256" w:lineRule="auto"/>
              <w:jc w:val="center"/>
            </w:pPr>
            <w:r>
              <w:rPr>
                <w:lang w:eastAsia="en-US"/>
              </w:rPr>
              <w:t>Наличие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Default="00E65039" w:rsidP="002016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</w:tr>
      <w:tr w:rsidR="00E65039" w:rsidRPr="009D35F0" w:rsidTr="002016DD">
        <w:trPr>
          <w:trHeight w:val="19"/>
          <w:jc w:val="center"/>
        </w:trPr>
        <w:tc>
          <w:tcPr>
            <w:tcW w:w="46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Pr="009D35F0" w:rsidRDefault="00E65039" w:rsidP="002016DD">
            <w:pPr>
              <w:spacing w:line="256" w:lineRule="auto"/>
              <w:ind w:firstLine="284"/>
              <w:rPr>
                <w:b/>
                <w:lang w:eastAsia="en-US"/>
              </w:rPr>
            </w:pPr>
            <w:r w:rsidRPr="009D35F0">
              <w:rPr>
                <w:b/>
                <w:lang w:eastAsia="en-US"/>
              </w:rPr>
              <w:t>Итого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9" w:rsidRPr="009D35F0" w:rsidRDefault="00E65039" w:rsidP="002016D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1 495</w:t>
            </w:r>
          </w:p>
        </w:tc>
      </w:tr>
    </w:tbl>
    <w:p w:rsidR="00E65039" w:rsidRDefault="00E65039" w:rsidP="00E65039">
      <w:pPr>
        <w:jc w:val="both"/>
      </w:pPr>
    </w:p>
    <w:p w:rsidR="00E65039" w:rsidRDefault="00E65039" w:rsidP="00E65039">
      <w:pPr>
        <w:ind w:firstLine="567"/>
        <w:jc w:val="both"/>
        <w:rPr>
          <w:b/>
        </w:rPr>
      </w:pPr>
    </w:p>
    <w:p w:rsidR="00E65039" w:rsidRDefault="00E65039" w:rsidP="00E65039">
      <w:pPr>
        <w:ind w:firstLine="567"/>
        <w:jc w:val="both"/>
        <w:rPr>
          <w:b/>
        </w:rPr>
      </w:pPr>
    </w:p>
    <w:p w:rsidR="00E65039" w:rsidRDefault="00E65039" w:rsidP="00E65039">
      <w:pPr>
        <w:ind w:firstLine="567"/>
        <w:jc w:val="both"/>
        <w:rPr>
          <w:b/>
        </w:rPr>
      </w:pPr>
      <w:r>
        <w:rPr>
          <w:b/>
        </w:rPr>
        <w:lastRenderedPageBreak/>
        <w:t>Обоснование включения дополнительной информации в сведения о товаре, работе, услуге:</w:t>
      </w:r>
    </w:p>
    <w:p w:rsidR="00E65039" w:rsidRDefault="00E65039" w:rsidP="00E65039">
      <w:pPr>
        <w:ind w:firstLine="567"/>
        <w:jc w:val="both"/>
      </w:pPr>
      <w:r>
        <w:t>- Методические рекомендации по установлению медицинских показаний и противопоказаний при назначении специалистами МСЭ ТСР получателя и методика их рационального подбора (Издание третье, переработанное и дополненное, 2018 г.)</w:t>
      </w:r>
    </w:p>
    <w:p w:rsidR="00E65039" w:rsidRPr="008E4AB0" w:rsidRDefault="00E65039" w:rsidP="00E6503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 xml:space="preserve">- </w:t>
      </w:r>
      <w:r>
        <w:rPr>
          <w:rFonts w:eastAsiaTheme="minorHAnsi"/>
          <w:lang w:eastAsia="en-US"/>
        </w:rPr>
        <w:t xml:space="preserve">"ГОСТ </w:t>
      </w:r>
      <w:proofErr w:type="gramStart"/>
      <w:r>
        <w:rPr>
          <w:rFonts w:eastAsiaTheme="minorHAnsi"/>
          <w:lang w:eastAsia="en-US"/>
        </w:rPr>
        <w:t>Р</w:t>
      </w:r>
      <w:proofErr w:type="gramEnd"/>
      <w:r>
        <w:rPr>
          <w:rFonts w:eastAsiaTheme="minorHAnsi"/>
          <w:lang w:eastAsia="en-US"/>
        </w:rPr>
        <w:t xml:space="preserve"> 57768-2021. Национальный стандарт Российской Федерации. Бандажи ортопедические на суставы верхних и нижних </w:t>
      </w:r>
      <w:r>
        <w:t>конечностей для лиц с ограниченными возможностями. Типы и основные параметры»;</w:t>
      </w:r>
    </w:p>
    <w:p w:rsidR="00E65039" w:rsidRPr="008E4AB0" w:rsidRDefault="00E65039" w:rsidP="00E6503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 xml:space="preserve">- </w:t>
      </w:r>
      <w:r>
        <w:rPr>
          <w:rFonts w:eastAsiaTheme="minorHAnsi"/>
          <w:lang w:eastAsia="en-US"/>
        </w:rPr>
        <w:t xml:space="preserve">"ГОСТ </w:t>
      </w:r>
      <w:proofErr w:type="gramStart"/>
      <w:r>
        <w:rPr>
          <w:rFonts w:eastAsiaTheme="minorHAnsi"/>
          <w:lang w:eastAsia="en-US"/>
        </w:rPr>
        <w:t>Р</w:t>
      </w:r>
      <w:proofErr w:type="gramEnd"/>
      <w:r>
        <w:rPr>
          <w:rFonts w:eastAsiaTheme="minorHAnsi"/>
          <w:lang w:eastAsia="en-US"/>
        </w:rPr>
        <w:t xml:space="preserve"> 58268-2021. Национальный стандарт Российской Федерации. </w:t>
      </w:r>
      <w:proofErr w:type="spellStart"/>
      <w:r>
        <w:rPr>
          <w:rFonts w:eastAsiaTheme="minorHAnsi"/>
          <w:lang w:eastAsia="en-US"/>
        </w:rPr>
        <w:t>Ортезы</w:t>
      </w:r>
      <w:proofErr w:type="spellEnd"/>
      <w:r>
        <w:rPr>
          <w:rFonts w:eastAsiaTheme="minorHAnsi"/>
          <w:lang w:eastAsia="en-US"/>
        </w:rPr>
        <w:t xml:space="preserve"> и другие средства наружной поддержки тела. </w:t>
      </w:r>
      <w:r>
        <w:t>Термины и определения. Классификация».</w:t>
      </w:r>
    </w:p>
    <w:p w:rsidR="00E65039" w:rsidRDefault="00E65039" w:rsidP="00E65039">
      <w:pPr>
        <w:ind w:firstLine="567"/>
        <w:jc w:val="both"/>
      </w:pPr>
      <w:r>
        <w:t>3.1. При использовании Товара по назначению не должно создаваться угрозы для жизни и здоровья потребителя, окружающей среды, а также использование Товара не должно причинять вред имуществу потребителя при его эксплуатации (Закон Российской Федерации от 07.02.1992 № 2300-1 «О защите прав потребителей»).</w:t>
      </w:r>
    </w:p>
    <w:p w:rsidR="00E65039" w:rsidRDefault="00E65039" w:rsidP="00E65039">
      <w:pPr>
        <w:tabs>
          <w:tab w:val="left" w:pos="9724"/>
        </w:tabs>
        <w:ind w:firstLine="567"/>
        <w:jc w:val="both"/>
      </w:pPr>
      <w:r>
        <w:t xml:space="preserve">3.2. Товар должен соответствовать требованиям государственных стандартов (ГОСТ), действующих на территории Российской Федерации: </w:t>
      </w:r>
    </w:p>
    <w:p w:rsidR="00E65039" w:rsidRPr="00066CDA" w:rsidRDefault="00E65039" w:rsidP="00E65039">
      <w:pPr>
        <w:jc w:val="both"/>
      </w:pPr>
      <w:r>
        <w:t xml:space="preserve">- </w:t>
      </w:r>
      <w:r w:rsidRPr="008E4AB0">
        <w:t xml:space="preserve">"ГОСТ </w:t>
      </w:r>
      <w:proofErr w:type="gramStart"/>
      <w:r w:rsidRPr="008E4AB0">
        <w:t>Р</w:t>
      </w:r>
      <w:proofErr w:type="gramEnd"/>
      <w:r w:rsidRPr="008E4AB0">
        <w:t xml:space="preserve"> 57768-2021. Национальный стандарт Российской Федерации. Бандажи ортопедические на суставы верхних и нижних конечностей для лиц с ограниченными возможностями. Типы и основные параметры»</w:t>
      </w:r>
      <w:r w:rsidRPr="00066CDA">
        <w:t>;</w:t>
      </w:r>
    </w:p>
    <w:p w:rsidR="00E65039" w:rsidRPr="008E4AB0" w:rsidRDefault="00E65039" w:rsidP="00E6503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 xml:space="preserve">- </w:t>
      </w:r>
      <w:r>
        <w:rPr>
          <w:rFonts w:eastAsiaTheme="minorHAnsi"/>
          <w:lang w:eastAsia="en-US"/>
        </w:rPr>
        <w:t xml:space="preserve">"ГОСТ </w:t>
      </w:r>
      <w:proofErr w:type="gramStart"/>
      <w:r>
        <w:rPr>
          <w:rFonts w:eastAsiaTheme="minorHAnsi"/>
          <w:lang w:eastAsia="en-US"/>
        </w:rPr>
        <w:t>Р</w:t>
      </w:r>
      <w:proofErr w:type="gramEnd"/>
      <w:r>
        <w:rPr>
          <w:rFonts w:eastAsiaTheme="minorHAnsi"/>
          <w:lang w:eastAsia="en-US"/>
        </w:rPr>
        <w:t xml:space="preserve"> 58268-2021. Национальный стандарт Российской Федерации. </w:t>
      </w:r>
      <w:proofErr w:type="spellStart"/>
      <w:r>
        <w:rPr>
          <w:rFonts w:eastAsiaTheme="minorHAnsi"/>
          <w:lang w:eastAsia="en-US"/>
        </w:rPr>
        <w:t>Ортезы</w:t>
      </w:r>
      <w:proofErr w:type="spellEnd"/>
      <w:r>
        <w:rPr>
          <w:rFonts w:eastAsiaTheme="minorHAnsi"/>
          <w:lang w:eastAsia="en-US"/>
        </w:rPr>
        <w:t xml:space="preserve"> и другие средства наружной поддержки тела. </w:t>
      </w:r>
      <w:r>
        <w:t>Термины и определения. Классификация»;</w:t>
      </w:r>
    </w:p>
    <w:p w:rsidR="00E65039" w:rsidRPr="007D4F6A" w:rsidRDefault="00E65039" w:rsidP="00E6503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16F27">
        <w:t>-</w:t>
      </w:r>
      <w:r>
        <w:t xml:space="preserve"> </w:t>
      </w:r>
      <w:r>
        <w:rPr>
          <w:rFonts w:eastAsiaTheme="minorHAnsi"/>
          <w:lang w:eastAsia="en-US"/>
        </w:rPr>
        <w:t xml:space="preserve">"ГОСТ </w:t>
      </w:r>
      <w:proofErr w:type="gramStart"/>
      <w:r>
        <w:rPr>
          <w:rFonts w:eastAsiaTheme="minorHAnsi"/>
          <w:lang w:eastAsia="en-US"/>
        </w:rPr>
        <w:t>Р</w:t>
      </w:r>
      <w:proofErr w:type="gramEnd"/>
      <w:r>
        <w:rPr>
          <w:rFonts w:eastAsiaTheme="minorHAnsi"/>
          <w:lang w:eastAsia="en-US"/>
        </w:rPr>
        <w:t xml:space="preserve"> 57892-2017. Национальный стандарт Российской Федерации. Корсеты ортопедические, </w:t>
      </w:r>
      <w:proofErr w:type="spellStart"/>
      <w:r>
        <w:rPr>
          <w:rFonts w:eastAsiaTheme="minorHAnsi"/>
          <w:lang w:eastAsia="en-US"/>
        </w:rPr>
        <w:t>головодержатели</w:t>
      </w:r>
      <w:proofErr w:type="spellEnd"/>
      <w:r w:rsidRPr="00816F27">
        <w:t>. Технические требования и методы испытаний»;</w:t>
      </w:r>
    </w:p>
    <w:p w:rsidR="00E65039" w:rsidRPr="007D4F6A" w:rsidRDefault="00E65039" w:rsidP="00E6503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16F27">
        <w:t>-</w:t>
      </w:r>
      <w:r>
        <w:t xml:space="preserve"> </w:t>
      </w:r>
      <w:r>
        <w:rPr>
          <w:rFonts w:eastAsiaTheme="minorHAnsi"/>
          <w:lang w:eastAsia="en-US"/>
        </w:rPr>
        <w:t>"ГОСТ ISO 10993-1-2021. Межгосударственный стандарт. Изделия медицинские. Оценка биологического действия медицинских изделий</w:t>
      </w:r>
      <w:r w:rsidRPr="00816F27">
        <w:t>. Часть 1. Оценка и исследования»;</w:t>
      </w:r>
    </w:p>
    <w:p w:rsidR="00E65039" w:rsidRPr="007D4F6A" w:rsidRDefault="00E65039" w:rsidP="00E6503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16F27">
        <w:t xml:space="preserve">- </w:t>
      </w:r>
      <w:r>
        <w:rPr>
          <w:rFonts w:eastAsiaTheme="minorHAnsi"/>
          <w:lang w:eastAsia="en-US"/>
        </w:rPr>
        <w:t>"ГОСТ ISO 10993-5-2023. Межгосударственный стандарт. Изделия медицинские. Оценка биологического действия медицинских изделий</w:t>
      </w:r>
      <w:r w:rsidRPr="00816F27">
        <w:t xml:space="preserve">. Часть 5. Исследование на </w:t>
      </w:r>
      <w:proofErr w:type="spellStart"/>
      <w:r w:rsidRPr="00816F27">
        <w:t>цитотоксичность</w:t>
      </w:r>
      <w:proofErr w:type="spellEnd"/>
      <w:r w:rsidRPr="00816F27">
        <w:t xml:space="preserve">: методы </w:t>
      </w:r>
      <w:r w:rsidRPr="00816F27">
        <w:rPr>
          <w:lang w:val="en-US"/>
        </w:rPr>
        <w:t>in</w:t>
      </w:r>
      <w:r w:rsidRPr="00816F27">
        <w:t xml:space="preserve"> </w:t>
      </w:r>
      <w:r w:rsidRPr="00816F27">
        <w:rPr>
          <w:lang w:val="en-US"/>
        </w:rPr>
        <w:t>vitro</w:t>
      </w:r>
      <w:r w:rsidRPr="00816F27">
        <w:t>”;</w:t>
      </w:r>
    </w:p>
    <w:p w:rsidR="00E65039" w:rsidRPr="007D4F6A" w:rsidRDefault="00E65039" w:rsidP="00E6503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16F27">
        <w:t xml:space="preserve">- </w:t>
      </w:r>
      <w:r>
        <w:rPr>
          <w:rFonts w:eastAsiaTheme="minorHAnsi"/>
          <w:lang w:eastAsia="en-US"/>
        </w:rPr>
        <w:t>"ГОСТ ISO 10993-10-2023. Межгосударственный стандарт. Изделия медицинские. Оценка биологического действия медицинских изделий</w:t>
      </w:r>
      <w:r w:rsidRPr="00816F27">
        <w:t>. Часть 10. Исследования раздражающего и сенсибилизирующего действия».</w:t>
      </w:r>
    </w:p>
    <w:p w:rsidR="00E65039" w:rsidRDefault="00E65039" w:rsidP="00E65039">
      <w:pPr>
        <w:ind w:firstLine="567"/>
        <w:jc w:val="both"/>
      </w:pPr>
      <w:r>
        <w:t xml:space="preserve">3.3. Товар должен быть новым, Товаром, который не был в употреблении, в ремонте, в том </w:t>
      </w:r>
      <w:proofErr w:type="gramStart"/>
      <w:r>
        <w:t>числе</w:t>
      </w:r>
      <w:proofErr w:type="gramEnd"/>
      <w:r>
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свойства. Товар должен быть свободными от прав третьих лиц.</w:t>
      </w:r>
    </w:p>
    <w:p w:rsidR="00E65039" w:rsidRDefault="00E65039" w:rsidP="00E65039">
      <w:pPr>
        <w:ind w:firstLine="567"/>
        <w:jc w:val="both"/>
        <w:rPr>
          <w:bCs/>
        </w:rPr>
      </w:pPr>
      <w:r>
        <w:t xml:space="preserve">3.4. </w:t>
      </w:r>
      <w:r>
        <w:rPr>
          <w:bCs/>
        </w:rPr>
        <w:t xml:space="preserve">Упаковка Товара должна обеспечивать его защиту от повреждений, порчи (изнашивания), или загрязнения во время хранения и транспортирования к месту использования по назначению (п.4.11.5 ГОСТ </w:t>
      </w:r>
      <w:proofErr w:type="gramStart"/>
      <w:r>
        <w:rPr>
          <w:bCs/>
        </w:rPr>
        <w:t>Р</w:t>
      </w:r>
      <w:proofErr w:type="gramEnd"/>
      <w:r>
        <w:rPr>
          <w:bCs/>
        </w:rPr>
        <w:t xml:space="preserve"> 51632-2021 «Национальный стандарт Российской Федерации. Технические средства реабилитации людей с ограничениями жизнедеятельности. </w:t>
      </w:r>
      <w:proofErr w:type="gramStart"/>
      <w:r>
        <w:rPr>
          <w:bCs/>
        </w:rPr>
        <w:t>Общие технические требования и методы испытаний»).</w:t>
      </w:r>
      <w:proofErr w:type="gramEnd"/>
    </w:p>
    <w:p w:rsidR="00E65039" w:rsidRDefault="00E65039" w:rsidP="00E65039">
      <w:pPr>
        <w:ind w:firstLine="567"/>
        <w:jc w:val="both"/>
      </w:pPr>
      <w:r>
        <w:t xml:space="preserve">3.5. Гарантийный срок Товара составляет не менее 6 месяцев </w:t>
      </w:r>
      <w:proofErr w:type="gramStart"/>
      <w:r>
        <w:t>с даты подписания</w:t>
      </w:r>
      <w:proofErr w:type="gramEnd"/>
      <w:r>
        <w:t xml:space="preserve"> Поставщиком и Получателем Акта сдачи-приемки Товара. </w:t>
      </w:r>
    </w:p>
    <w:p w:rsidR="00E65039" w:rsidRDefault="00E65039" w:rsidP="00E65039">
      <w:pPr>
        <w:ind w:firstLine="567"/>
        <w:jc w:val="both"/>
      </w:pPr>
      <w:r>
        <w:t>Установленный настоящим пунктом Технического задания, срок не распространяется на случаи нарушения Получателем условий и требований к эксплуатации Товара (Закон РФ от 07.02.1992 № 2300-1 «О защите прав потребителей»).</w:t>
      </w:r>
    </w:p>
    <w:p w:rsidR="00E65039" w:rsidRDefault="00E65039" w:rsidP="00E65039">
      <w:pPr>
        <w:ind w:firstLine="567"/>
        <w:jc w:val="both"/>
        <w:rPr>
          <w:b/>
        </w:rPr>
      </w:pPr>
      <w:r>
        <w:rPr>
          <w:b/>
        </w:rPr>
        <w:t>4. Поставщик обязан:</w:t>
      </w:r>
    </w:p>
    <w:p w:rsidR="00E65039" w:rsidRDefault="00E65039" w:rsidP="00E65039">
      <w:pPr>
        <w:ind w:firstLine="567"/>
        <w:jc w:val="both"/>
      </w:pPr>
      <w:r>
        <w:t>4.1. Поставлять Товар для Получателей, имеющий действующие регистрационные удостоверения, выданные Федеральной службой по надзору в сфере здравоохранения (в случае, если Товар подлежит регистрации), и (или) декларации о соответствии или сертификат соответствия поставляемого Товара либо иные документы, свидетельствующие о качестве и безопасности Товара, предусмотренные действующим законодательством Российской Федерации.</w:t>
      </w:r>
    </w:p>
    <w:p w:rsidR="00E65039" w:rsidRDefault="00E65039" w:rsidP="00E65039">
      <w:pPr>
        <w:ind w:firstLine="567"/>
        <w:jc w:val="both"/>
      </w:pPr>
      <w:r>
        <w:t xml:space="preserve">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новых.  </w:t>
      </w:r>
    </w:p>
    <w:p w:rsidR="00E65039" w:rsidRDefault="00E65039" w:rsidP="00E65039">
      <w:pPr>
        <w:ind w:firstLine="567"/>
        <w:jc w:val="both"/>
      </w:pPr>
      <w:r>
        <w:lastRenderedPageBreak/>
        <w:t>4.2. Осуществлять поставку Товара Получателям путем передачи Товара Получателям или их представителям при представлении ими паспорта и направления (по форме, утвержденной приказом Министерства здравоохранения и социального развития Российской Федерации от 21.08.2008 № 439н), выдаваемого Заказчиком.</w:t>
      </w:r>
    </w:p>
    <w:p w:rsidR="00E65039" w:rsidRDefault="00E65039" w:rsidP="00E65039">
      <w:pPr>
        <w:ind w:firstLine="567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от имени Получателя действует его представитель, то предъявляется документ, удостоверяющий личность представителя, и соответствующий документ, подтверждающий полномочия представителя (при этом требовать документ (копию документа), удостоверяющего личность Получателя не допускается). Указанные документы, предоставляемые представителем Получателя, должны быть действительными и не утратившими юридическую силу, в том числе по основаниям, предусмотренным статьей 188 Гражданского кодекса Российской Федерации, на момент передачи Товара представителю Получателя.</w:t>
      </w:r>
    </w:p>
    <w:p w:rsidR="00E65039" w:rsidRDefault="00E65039" w:rsidP="00E65039">
      <w:pPr>
        <w:ind w:firstLine="567"/>
        <w:jc w:val="both"/>
      </w:pPr>
      <w:r>
        <w:t xml:space="preserve">4.3. При работе с Получателями обеспечить соблюдение рекомендаций и санитарно-эпидемиологических требований </w:t>
      </w:r>
      <w:proofErr w:type="spellStart"/>
      <w:r>
        <w:t>Роспотребнадзора</w:t>
      </w:r>
      <w:proofErr w:type="spellEnd"/>
      <w:r>
        <w:t xml:space="preserve"> и исполнительных органов государственной власти Санкт-Петербурга и Ленинградской области при возникновении неблагоприятной санитарно-эпидемиологической обстановки, в том числе в период распространении новой </w:t>
      </w:r>
      <w:proofErr w:type="spellStart"/>
      <w:r>
        <w:t>коронавирусной</w:t>
      </w:r>
      <w:proofErr w:type="spellEnd"/>
      <w:r>
        <w:t xml:space="preserve"> инфекции (COVID-19).</w:t>
      </w:r>
    </w:p>
    <w:p w:rsidR="00E65039" w:rsidRDefault="00E65039" w:rsidP="00E65039">
      <w:pPr>
        <w:ind w:firstLine="567"/>
        <w:jc w:val="both"/>
      </w:pPr>
      <w:r>
        <w:t xml:space="preserve">4.4. Обеспечить возможность бесперебойной выдачи Товара в пункте приема Получателей со дня, следующего за днем поступления Товара в субъект в соответствии с календарным планом, но не ранее 09.01.2025. </w:t>
      </w:r>
    </w:p>
    <w:p w:rsidR="00E65039" w:rsidRDefault="00E65039" w:rsidP="00E65039">
      <w:pPr>
        <w:ind w:firstLine="567"/>
        <w:jc w:val="both"/>
      </w:pPr>
      <w:r>
        <w:t xml:space="preserve">4.5. Давать справки Получателям по вопросам, связанным с поставкой Товара, а также осуществлять прием заявок на доставку по месту нахождения Получателя в часы работы пункта (пунктов) приема Получателей. Для звонков Получателей должен быть выделен телефонный номер. Информацию о телефонном номере Поставщик должен предоставить Заказчику не позднее 1 (одного) рабочего дня </w:t>
      </w:r>
      <w:proofErr w:type="gramStart"/>
      <w:r>
        <w:t>с даты заключения</w:t>
      </w:r>
      <w:proofErr w:type="gramEnd"/>
      <w:r>
        <w:t xml:space="preserve"> государственного контракта.</w:t>
      </w:r>
    </w:p>
    <w:p w:rsidR="00E65039" w:rsidRDefault="00E65039" w:rsidP="00E65039">
      <w:pPr>
        <w:ind w:firstLine="567"/>
        <w:jc w:val="both"/>
      </w:pPr>
      <w:r>
        <w:t xml:space="preserve">Звонки с городских номеров Санкт-Петербурга и Ленинградской области должны быть бесплатными для Получателей, а именно: 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связи, либо телефонного номера, не являющегося номером, обслуживаемым оператором сети местной телефонной связи Санкт-Петербурга и Ленинградской области; исключается возможность взимания оплаты за звонки Поставщиком. </w:t>
      </w:r>
    </w:p>
    <w:p w:rsidR="00E65039" w:rsidRDefault="00E65039" w:rsidP="00E65039">
      <w:pPr>
        <w:ind w:firstLine="567"/>
        <w:jc w:val="both"/>
      </w:pPr>
      <w:r>
        <w:t>4.6. Вести аудиозаписи телефонных разговоров с Получателями по вопросам получения Товара. По требованию Заказчика Поставщик обязан предоставлять такие аудиозаписи. Вести журнал телефонных звонков из реестра Получателей Товара (передается Заказчиком по мере формирования) с пометкой о времени звонка, результате звонка и выборе гражданами способа, места и времени доставки Товара.</w:t>
      </w:r>
    </w:p>
    <w:p w:rsidR="00E65039" w:rsidRDefault="00E65039" w:rsidP="00E65039">
      <w:pPr>
        <w:ind w:firstLine="567"/>
        <w:jc w:val="both"/>
      </w:pPr>
      <w:r>
        <w:t>Предоставлять Заказчику в рамках подтверждения исполнения государственного контракта журнал телефонных звонков. Информировать Заказчика о невозможности предоставления Товара Получателю не позднее дня, следующего за днем доставки, согласованным с Получателем.</w:t>
      </w:r>
    </w:p>
    <w:p w:rsidR="00E65039" w:rsidRDefault="00E65039" w:rsidP="00E65039">
      <w:pPr>
        <w:ind w:firstLine="567"/>
        <w:jc w:val="both"/>
      </w:pPr>
      <w:r>
        <w:t>4.7. Еженедельно (в последний рабочий день недели) с 09.01.2025 представлять отчет по форме, предоставленной Заказчиком. Отчет предоставляется на бумажном носителе сопроводительным письмом с приложением и в электронном виде по адресу osp@ro78.fss.ru.</w:t>
      </w:r>
    </w:p>
    <w:p w:rsidR="00E65039" w:rsidRDefault="00E65039" w:rsidP="00E65039">
      <w:pPr>
        <w:ind w:firstLine="567"/>
        <w:jc w:val="both"/>
      </w:pPr>
      <w:r>
        <w:t xml:space="preserve">4.8. В случае привлечения к исполнению контракта соисполнителя в срок не позднее 1 (одного) рабочего дня со дня заключения контракта, предоставить Заказчику данные о соисполнителе: </w:t>
      </w:r>
    </w:p>
    <w:p w:rsidR="00E65039" w:rsidRDefault="00E65039" w:rsidP="00E65039">
      <w:pPr>
        <w:ind w:firstLine="567"/>
        <w:jc w:val="both"/>
      </w:pPr>
      <w:r>
        <w:t>наименование, фирменное наименование (при наличии), место нахождения, почтовый адрес (для юридического лица);</w:t>
      </w:r>
    </w:p>
    <w:p w:rsidR="00E65039" w:rsidRDefault="00E65039" w:rsidP="00E65039">
      <w:pPr>
        <w:ind w:firstLine="567"/>
        <w:jc w:val="both"/>
      </w:pPr>
      <w:r>
        <w:t>фамилия, имя, отчество (при наличии), паспортные данные, место жительства (для физического лица);</w:t>
      </w:r>
    </w:p>
    <w:p w:rsidR="00E65039" w:rsidRDefault="00E65039" w:rsidP="00E65039">
      <w:pPr>
        <w:ind w:firstLine="567"/>
        <w:jc w:val="both"/>
      </w:pPr>
      <w:r>
        <w:t>номер контактного телефона;</w:t>
      </w:r>
    </w:p>
    <w:p w:rsidR="00E65039" w:rsidRDefault="00E65039" w:rsidP="00E65039">
      <w:pPr>
        <w:ind w:firstLine="567"/>
        <w:jc w:val="both"/>
      </w:pPr>
      <w:r>
        <w:t>адрес электронной почты;</w:t>
      </w:r>
    </w:p>
    <w:p w:rsidR="00E65039" w:rsidRDefault="00E65039" w:rsidP="00E65039">
      <w:pPr>
        <w:ind w:firstLine="567"/>
        <w:jc w:val="both"/>
      </w:pPr>
      <w:r>
        <w:t>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лица);</w:t>
      </w:r>
    </w:p>
    <w:p w:rsidR="00E65039" w:rsidRDefault="00E65039" w:rsidP="00E65039">
      <w:pPr>
        <w:ind w:firstLine="567"/>
        <w:jc w:val="both"/>
      </w:pPr>
      <w:r>
        <w:t>перечень операций, выполняемых соисполнителем в рамках контракта;</w:t>
      </w:r>
    </w:p>
    <w:p w:rsidR="00E65039" w:rsidRDefault="00E65039" w:rsidP="00E65039">
      <w:pPr>
        <w:ind w:firstLine="567"/>
        <w:jc w:val="both"/>
      </w:pPr>
      <w:r>
        <w:lastRenderedPageBreak/>
        <w:t xml:space="preserve">срок </w:t>
      </w:r>
      <w:proofErr w:type="spellStart"/>
      <w:r>
        <w:t>соисполнительства</w:t>
      </w:r>
      <w:proofErr w:type="spellEnd"/>
      <w:r>
        <w:t>.</w:t>
      </w:r>
    </w:p>
    <w:p w:rsidR="00E65039" w:rsidRDefault="00E65039" w:rsidP="00E65039">
      <w:pPr>
        <w:ind w:firstLine="567"/>
        <w:jc w:val="both"/>
      </w:pPr>
      <w:r>
        <w:t>В случае привлечения соисполнителя во время исполнения контракта предоставить вышеперечисленные сведения в срок не позднее 1 (одного) рабочего дня со дня заключения договора между Поставщиком и соисполнителем.</w:t>
      </w:r>
    </w:p>
    <w:p w:rsidR="00E65039" w:rsidRDefault="00E65039" w:rsidP="00E65039">
      <w:pPr>
        <w:ind w:firstLine="567"/>
        <w:jc w:val="both"/>
      </w:pPr>
      <w:r>
        <w:t>При досрочном расторжении договора между Поставщиком и соисполнителем Поставщик должен уведомить об этом Заказчика в срок не позднее 1 (одного) рабочего дня со дня расторжения такого договора.</w:t>
      </w:r>
    </w:p>
    <w:p w:rsidR="00E65039" w:rsidRDefault="00E65039" w:rsidP="00E65039">
      <w:pPr>
        <w:ind w:firstLine="567"/>
        <w:jc w:val="both"/>
      </w:pPr>
      <w:r>
        <w:t xml:space="preserve">Информация предоставляется сопроводительным письмом с приложением подтверждающих документов на бумажном носителе и в электронном виде по адресу osp@ro78.fss.ru. </w:t>
      </w:r>
    </w:p>
    <w:p w:rsidR="00E65039" w:rsidRPr="00573DF5" w:rsidRDefault="00E65039" w:rsidP="00E65039">
      <w:pPr>
        <w:ind w:firstLine="567"/>
        <w:jc w:val="both"/>
      </w:pPr>
      <w:r w:rsidRPr="00573DF5">
        <w:t>5. Способ поставки:</w:t>
      </w:r>
    </w:p>
    <w:p w:rsidR="00E65039" w:rsidRPr="00573DF5" w:rsidRDefault="00E65039" w:rsidP="00E65039">
      <w:pPr>
        <w:ind w:firstLine="567"/>
        <w:jc w:val="both"/>
      </w:pPr>
      <w:r w:rsidRPr="00573DF5">
        <w:t>5.1. Поставщик передает Получателям Товар следующими способами:</w:t>
      </w:r>
    </w:p>
    <w:p w:rsidR="00E65039" w:rsidRPr="00573DF5" w:rsidRDefault="00E65039" w:rsidP="00E65039">
      <w:pPr>
        <w:ind w:firstLine="567"/>
        <w:jc w:val="both"/>
      </w:pPr>
      <w:r w:rsidRPr="00573DF5">
        <w:t xml:space="preserve">- по месту жительства (месту пребывания, фактического проживания) </w:t>
      </w:r>
      <w:proofErr w:type="gramStart"/>
      <w:r w:rsidRPr="00573DF5">
        <w:t>Получателя</w:t>
      </w:r>
      <w:proofErr w:type="gramEnd"/>
      <w:r w:rsidRPr="00573DF5">
        <w:t xml:space="preserve">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E65039" w:rsidRPr="00573DF5" w:rsidRDefault="00E65039" w:rsidP="00E65039">
      <w:pPr>
        <w:ind w:firstLine="567"/>
        <w:jc w:val="both"/>
      </w:pPr>
      <w:r w:rsidRPr="00573DF5">
        <w:t xml:space="preserve">- в пункте (пунктах) приема </w:t>
      </w:r>
      <w:r w:rsidRPr="00573DF5">
        <w:rPr>
          <w:rFonts w:ascii="Times New Roman CYR" w:hAnsi="Times New Roman CYR" w:cs="Times New Roman CYR"/>
        </w:rPr>
        <w:t>Получателей</w:t>
      </w:r>
      <w:r w:rsidRPr="00573DF5">
        <w:t>, организованных Поставщиком.</w:t>
      </w:r>
    </w:p>
    <w:p w:rsidR="00E65039" w:rsidRPr="00573DF5" w:rsidRDefault="00E65039" w:rsidP="00E65039">
      <w:pPr>
        <w:ind w:firstLine="567"/>
        <w:jc w:val="both"/>
      </w:pPr>
      <w:r w:rsidRPr="00573DF5">
        <w:t>Поставщик обязан предоставлять Получателям право выбора способа получения Товара.</w:t>
      </w:r>
    </w:p>
    <w:p w:rsidR="00E65039" w:rsidRPr="00573DF5" w:rsidRDefault="00E65039" w:rsidP="00E65039">
      <w:pPr>
        <w:ind w:right="-23" w:firstLine="567"/>
        <w:jc w:val="both"/>
      </w:pPr>
      <w:r w:rsidRPr="00573DF5">
        <w:t xml:space="preserve">Доставка Товара по месту жительства (месту пребывания, фактического проживания) </w:t>
      </w:r>
      <w:proofErr w:type="gramStart"/>
      <w:r w:rsidRPr="00573DF5">
        <w:t>Получателя</w:t>
      </w:r>
      <w:proofErr w:type="gramEnd"/>
      <w:r w:rsidRPr="00573DF5">
        <w:t xml:space="preserve"> в том числе службой доставки (почтовым отправлением) осуществляется за счет собственных средств Исполнителя.</w:t>
      </w:r>
    </w:p>
    <w:p w:rsidR="00E65039" w:rsidRPr="003F0DC1" w:rsidRDefault="00E65039" w:rsidP="00E65039">
      <w:pPr>
        <w:ind w:firstLine="567"/>
        <w:jc w:val="both"/>
      </w:pPr>
      <w:r>
        <w:t xml:space="preserve">5.2. </w:t>
      </w:r>
      <w:proofErr w:type="gramStart"/>
      <w:r w:rsidRPr="003F0DC1">
        <w:t>В целях реализации возможности получения Товара Получателем через пункт (пункты) приема Получателей и недопущения длительного ожидания в очереди при получении Товара Поставщи</w:t>
      </w:r>
      <w:r>
        <w:t>к должен организовать не менее 1</w:t>
      </w:r>
      <w:r w:rsidRPr="003F0DC1">
        <w:t xml:space="preserve"> (</w:t>
      </w:r>
      <w:r>
        <w:t>одного</w:t>
      </w:r>
      <w:r w:rsidRPr="003F0DC1">
        <w:t>) пункт</w:t>
      </w:r>
      <w:r>
        <w:t>ов</w:t>
      </w:r>
      <w:r w:rsidRPr="003F0DC1">
        <w:t xml:space="preserve"> приема Получателей в срок не позднее 1 (одного)</w:t>
      </w:r>
      <w:r>
        <w:t xml:space="preserve"> рабочего</w:t>
      </w:r>
      <w:r w:rsidRPr="003F0DC1">
        <w:t xml:space="preserve"> дня с даты заключения государственного контракта в г. Санкт-Петербург, которые должны действовать до конца выдачи Товара, согласно условиям Технического задания.</w:t>
      </w:r>
      <w:proofErr w:type="gramEnd"/>
      <w:r w:rsidRPr="003F0DC1">
        <w:t xml:space="preserve"> Поставщик вправе организовать дополнительные Пункты приема Получателей в Ленинградской области. Пункты приема Получателей должны быть организованы в различных районах Санкт-Петербурга и Ленинградской области. </w:t>
      </w:r>
    </w:p>
    <w:p w:rsidR="00E65039" w:rsidRPr="003F0DC1" w:rsidRDefault="00E65039" w:rsidP="00E65039">
      <w:pPr>
        <w:ind w:firstLine="567"/>
        <w:jc w:val="both"/>
      </w:pPr>
      <w:proofErr w:type="gramStart"/>
      <w:r w:rsidRPr="003F0DC1">
        <w:t>Пункт (пункты) приема Получателей, организованные на территории Санкт-Петербурга должны быть расположены в пешей доступности от станции метрополитена (под пешей доступностью, в силу п. 11.24.</w:t>
      </w:r>
      <w:proofErr w:type="gramEnd"/>
      <w:r w:rsidRPr="003F0DC1">
        <w:t xml:space="preserve"> СП 42.13330.2016 «Градостроительство. Планировка и застройка городских и сельских поселений. </w:t>
      </w:r>
      <w:proofErr w:type="gramStart"/>
      <w:r w:rsidRPr="003F0DC1">
        <w:t>Актуализированная редакция СНиП 2.07.01-89», принимается расстояние в 500 метров).</w:t>
      </w:r>
      <w:proofErr w:type="gramEnd"/>
      <w:r w:rsidRPr="003F0DC1">
        <w:t xml:space="preserve"> В связи с отсутствием указания на конкретный вид транспорта в п. 11.24 СП 42.13330.2016 для однозначного толкования всеми участниками закупки Заказчик определил термин «остановка общественного транспорта» станцию метрополитена. Метрополитен является наиболее удобным и разветвленным видом транспорта в городе Санкт-Петербург, обеспечивающим безопасную и комфортную перевозку пассажиров всех категорий, в том числе отвечающую требованиям по обеспечению доступа инвалидов и иных маломобильных граждан.</w:t>
      </w:r>
    </w:p>
    <w:p w:rsidR="00E65039" w:rsidRPr="003F0DC1" w:rsidRDefault="00E65039" w:rsidP="00E65039">
      <w:pPr>
        <w:ind w:firstLine="567"/>
        <w:jc w:val="both"/>
      </w:pPr>
      <w:r w:rsidRPr="003F0DC1">
        <w:t xml:space="preserve">В соответствии с частью 2 статьи 12 Федерального закона от 30.12.2009 №384-ФЗ «Технический регламент о безопасности зданий и сооружений» </w:t>
      </w:r>
    </w:p>
    <w:p w:rsidR="00E65039" w:rsidRPr="003F0DC1" w:rsidRDefault="00E65039" w:rsidP="00E65039">
      <w:pPr>
        <w:ind w:firstLine="567"/>
        <w:jc w:val="both"/>
      </w:pPr>
      <w:r w:rsidRPr="003F0DC1">
        <w:t>объекты транспортной инфраструктуры должны быть оборудованы специальными приспособлениями, позволяющими инвалидам и другим группам населения с ограниченными возможностями передвижения беспрепятственно пользоваться услугами, предоставляемыми на объектах транспортной инфраструктуры.</w:t>
      </w:r>
    </w:p>
    <w:p w:rsidR="00E65039" w:rsidRPr="003F0DC1" w:rsidRDefault="00E65039" w:rsidP="00E65039">
      <w:pPr>
        <w:ind w:firstLine="567"/>
        <w:jc w:val="both"/>
      </w:pPr>
      <w:r w:rsidRPr="003F0DC1">
        <w:t>В городе Санкт-Петербург таким объектом транспортной инфраструктуры, отвечающим установленным требованиям, является метрополитен.</w:t>
      </w:r>
    </w:p>
    <w:p w:rsidR="00E65039" w:rsidRPr="003F0DC1" w:rsidRDefault="00E65039" w:rsidP="00E65039">
      <w:pPr>
        <w:ind w:firstLine="567"/>
        <w:jc w:val="both"/>
      </w:pPr>
      <w:proofErr w:type="gramStart"/>
      <w:r w:rsidRPr="003F0DC1">
        <w:t>Пункты приема Получателей, организованные на территории Ленинградской области должны находиться на территории административных центров муниципальных районов, административного центра городского округа, в пешей доступности от остановок общественного транспорта (под пешей доступностью, в силу п. 11.24.</w:t>
      </w:r>
      <w:proofErr w:type="gramEnd"/>
      <w:r w:rsidRPr="003F0DC1">
        <w:t xml:space="preserve"> СП 42.13330.2016 «Градостроительство. Планировка и застройка городских и сельских поселений. </w:t>
      </w:r>
      <w:proofErr w:type="gramStart"/>
      <w:r w:rsidRPr="003F0DC1">
        <w:t>Актуализированная редакция СНиП 2.07.01-89», принимается расстояние в 500 метров).</w:t>
      </w:r>
      <w:proofErr w:type="gramEnd"/>
    </w:p>
    <w:p w:rsidR="00E65039" w:rsidRPr="003F0DC1" w:rsidRDefault="00E65039" w:rsidP="00E65039">
      <w:pPr>
        <w:ind w:firstLine="567"/>
        <w:jc w:val="both"/>
      </w:pPr>
      <w:r w:rsidRPr="003F0DC1">
        <w:lastRenderedPageBreak/>
        <w:t xml:space="preserve">Требования к организации пунктов приема Получателей Товара установлены в техническом задании </w:t>
      </w:r>
      <w:proofErr w:type="gramStart"/>
      <w:r w:rsidRPr="003F0DC1">
        <w:t>исходя из необходимости обеспечить</w:t>
      </w:r>
      <w:proofErr w:type="gramEnd"/>
      <w:r w:rsidRPr="003F0DC1">
        <w:t xml:space="preserve"> доступные транспортные условия для инвалидов из любой части города Санкт-Петербурга</w:t>
      </w:r>
      <w:r>
        <w:t xml:space="preserve"> (и Ленинградской области)</w:t>
      </w:r>
      <w:r w:rsidRPr="003F0DC1">
        <w:t xml:space="preserve">. </w:t>
      </w:r>
    </w:p>
    <w:p w:rsidR="00E65039" w:rsidRPr="003F0DC1" w:rsidRDefault="00E65039" w:rsidP="00E65039">
      <w:pPr>
        <w:ind w:firstLine="567"/>
        <w:jc w:val="both"/>
      </w:pPr>
      <w:r w:rsidRPr="003F0DC1">
        <w:t>Не позднее 1 (одного)</w:t>
      </w:r>
      <w:r>
        <w:t xml:space="preserve"> рабочего</w:t>
      </w:r>
      <w:r w:rsidRPr="003F0DC1">
        <w:t xml:space="preserve"> дня </w:t>
      </w:r>
      <w:proofErr w:type="gramStart"/>
      <w:r w:rsidRPr="003F0DC1">
        <w:t>с даты заключения</w:t>
      </w:r>
      <w:proofErr w:type="gramEnd"/>
      <w:r w:rsidRPr="003F0DC1">
        <w:t xml:space="preserve"> государственного контракта Поставщик должен предоставить Заказчику информацию об адресе пункта (пунктов) приема Получателей, графике работы пункта (пунктов) приема Получателей, контактном телефоне.</w:t>
      </w:r>
    </w:p>
    <w:p w:rsidR="00E65039" w:rsidRPr="00573DF5" w:rsidRDefault="00E65039" w:rsidP="00E65039">
      <w:pPr>
        <w:ind w:right="-23" w:firstLine="567"/>
        <w:jc w:val="both"/>
        <w:rPr>
          <w:color w:val="000000"/>
        </w:rPr>
      </w:pPr>
      <w:r w:rsidRPr="003F0DC1">
        <w:t>Не позднее 1 (одного)</w:t>
      </w:r>
      <w:r>
        <w:t xml:space="preserve"> рабочего </w:t>
      </w:r>
      <w:r w:rsidRPr="003F0DC1">
        <w:t xml:space="preserve">дня </w:t>
      </w:r>
      <w:proofErr w:type="gramStart"/>
      <w:r w:rsidRPr="003F0DC1">
        <w:t>с даты заключения</w:t>
      </w:r>
      <w:proofErr w:type="gramEnd"/>
      <w:r w:rsidRPr="003F0DC1">
        <w:t xml:space="preserve"> государственного контракта Поставщик передает Заказчику копии документов, подтверждающих право Поставщика использовать помещения пункта (пунктов) приема Получателей, заверенные Поставщиком надлежащим образом. Документы должны быть предоставлены на бумажном носителе сопроводительным письмом с приложением.</w:t>
      </w:r>
      <w:r w:rsidRPr="00573DF5">
        <w:rPr>
          <w:color w:val="000000"/>
        </w:rPr>
        <w:t xml:space="preserve">5.3. Поставщик обязан предоставить доступное для людей с инвалидностью помещение под размещение пункта (пунктов) приема </w:t>
      </w:r>
      <w:r w:rsidRPr="00573DF5">
        <w:rPr>
          <w:rFonts w:ascii="Times New Roman CYR" w:hAnsi="Times New Roman CYR" w:cs="Times New Roman CYR"/>
        </w:rPr>
        <w:t>Получателей</w:t>
      </w:r>
      <w:r w:rsidRPr="00573DF5">
        <w:rPr>
          <w:color w:val="000000"/>
        </w:rPr>
        <w:t xml:space="preserve"> в соответствии со статьей</w:t>
      </w:r>
      <w:r>
        <w:rPr>
          <w:color w:val="000000"/>
        </w:rPr>
        <w:t xml:space="preserve"> </w:t>
      </w:r>
      <w:r w:rsidRPr="00573DF5">
        <w:rPr>
          <w:color w:val="000000"/>
        </w:rPr>
        <w:t>15 Федерального закона от 24.11.1995 № 181 «О социальной защите инвалидов в Российской Федерации.</w:t>
      </w:r>
    </w:p>
    <w:p w:rsidR="00E65039" w:rsidRPr="00573DF5" w:rsidRDefault="00E65039" w:rsidP="00E65039">
      <w:pPr>
        <w:suppressAutoHyphens/>
        <w:ind w:firstLine="567"/>
        <w:jc w:val="both"/>
      </w:pPr>
      <w:r w:rsidRPr="00573DF5">
        <w:t>Вход в каждый пункт (пункты) приема</w:t>
      </w:r>
      <w:r w:rsidRPr="00573DF5">
        <w:rPr>
          <w:rFonts w:ascii="Times New Roman CYR" w:hAnsi="Times New Roman CYR" w:cs="Times New Roman CYR"/>
        </w:rPr>
        <w:t xml:space="preserve"> Получателей</w:t>
      </w:r>
      <w:r w:rsidRPr="00573DF5">
        <w:t xml:space="preserve"> должен быт</w:t>
      </w:r>
      <w:r w:rsidR="00600B35">
        <w:t>ь обозначен надписью (например, «Пункт выдачи ТСР»</w:t>
      </w:r>
      <w:r w:rsidRPr="00573DF5">
        <w:t xml:space="preserve">), позволяющей однозначно определить место нахождения указанного пункта (пунктов). </w:t>
      </w:r>
      <w:proofErr w:type="gramStart"/>
      <w:r w:rsidRPr="00573DF5">
        <w:t>Проход в пункт (пункты) приема</w:t>
      </w:r>
      <w:r w:rsidRPr="00573DF5">
        <w:rPr>
          <w:rFonts w:ascii="Times New Roman CYR" w:hAnsi="Times New Roman CYR" w:cs="Times New Roman CYR"/>
        </w:rPr>
        <w:t xml:space="preserve"> Получателей</w:t>
      </w:r>
      <w:r w:rsidRPr="00573DF5">
        <w:t xml:space="preserve"> и передвижение по ним должны быть беспрепятственны для инвалидов (в случае необходимости, пункты приема</w:t>
      </w:r>
      <w:r w:rsidRPr="00573DF5">
        <w:rPr>
          <w:rFonts w:ascii="Times New Roman CYR" w:hAnsi="Times New Roman CYR" w:cs="Times New Roman CYR"/>
        </w:rPr>
        <w:t xml:space="preserve"> Получателей</w:t>
      </w:r>
      <w:r w:rsidRPr="00573DF5">
        <w:t xml:space="preserve"> должны быть оборудованы пандусами для облегчения передвижения инвалидов и соответствовать требованиям СП 59.13330.2020 «Доступность зданий и сооружений для маломобильных групп населения».</w:t>
      </w:r>
      <w:proofErr w:type="gramEnd"/>
      <w:r w:rsidRPr="00573DF5">
        <w:t xml:space="preserve"> Поставщиком должна быть обеспечена возможность самостоятельного передвижения инвалидов по территории пункта (</w:t>
      </w:r>
      <w:r w:rsidRPr="00573DF5">
        <w:rPr>
          <w:lang w:eastAsia="ar-SA"/>
        </w:rPr>
        <w:t>пунктов) приема</w:t>
      </w:r>
      <w:r w:rsidRPr="00573DF5">
        <w:rPr>
          <w:rFonts w:ascii="Times New Roman CYR" w:hAnsi="Times New Roman CYR" w:cs="Times New Roman CYR"/>
        </w:rPr>
        <w:t xml:space="preserve"> Получателей</w:t>
      </w:r>
      <w:r w:rsidRPr="00573DF5">
        <w:t>, в том числе с помощью его работников, а также сменного кресла-коляски.</w:t>
      </w:r>
    </w:p>
    <w:p w:rsidR="00E65039" w:rsidRPr="00573DF5" w:rsidRDefault="00E65039" w:rsidP="00E65039">
      <w:pPr>
        <w:suppressAutoHyphens/>
        <w:ind w:firstLine="567"/>
        <w:jc w:val="both"/>
      </w:pPr>
      <w:r w:rsidRPr="00573DF5">
        <w:rPr>
          <w:b/>
        </w:rPr>
        <w:t>Входная группа</w:t>
      </w:r>
      <w:r w:rsidRPr="00573DF5">
        <w:t xml:space="preserve"> </w:t>
      </w:r>
    </w:p>
    <w:p w:rsidR="00E65039" w:rsidRPr="00573DF5" w:rsidRDefault="00E65039" w:rsidP="00E65039">
      <w:pPr>
        <w:suppressAutoHyphens/>
        <w:ind w:firstLine="567"/>
        <w:jc w:val="both"/>
      </w:pPr>
      <w:r w:rsidRPr="00573DF5">
        <w:t>При перепадах высот Поставщик должен учитывать наличие следующих элементов:</w:t>
      </w:r>
    </w:p>
    <w:p w:rsidR="00E65039" w:rsidRPr="00573DF5" w:rsidRDefault="00E65039" w:rsidP="00E65039">
      <w:pPr>
        <w:suppressAutoHyphens/>
        <w:ind w:firstLine="567"/>
        <w:jc w:val="both"/>
      </w:pPr>
      <w:r w:rsidRPr="00573DF5">
        <w:t>- Пандус с поручнями;</w:t>
      </w:r>
    </w:p>
    <w:p w:rsidR="00E65039" w:rsidRPr="00573DF5" w:rsidRDefault="00E65039" w:rsidP="00E65039">
      <w:pPr>
        <w:suppressAutoHyphens/>
        <w:ind w:firstLine="567"/>
        <w:jc w:val="both"/>
      </w:pPr>
      <w:r w:rsidRPr="00573DF5">
        <w:t>(в соответствии с п. 5.1.14 – п. 5.1.16; п. 6.1.2 – п. 6.1.4; п. 6.2.9 – п. 6.2.11 СП 59.13330.2020);</w:t>
      </w:r>
    </w:p>
    <w:p w:rsidR="00E65039" w:rsidRPr="00573DF5" w:rsidRDefault="00E65039" w:rsidP="00E65039">
      <w:pPr>
        <w:suppressAutoHyphens/>
        <w:ind w:firstLine="567"/>
        <w:jc w:val="both"/>
      </w:pPr>
      <w:r w:rsidRPr="00573DF5">
        <w:t>Пандус должен иметь нормативный угол наклона, непрерывное двухстороннее ограждение с поручнями шириной не более 0,9-1,0 метра, высотой нижних поручней 0,7 м, а верхних 0,9 м.</w:t>
      </w:r>
    </w:p>
    <w:p w:rsidR="00E65039" w:rsidRPr="00573DF5" w:rsidRDefault="00E65039" w:rsidP="00E65039">
      <w:pPr>
        <w:suppressAutoHyphens/>
        <w:ind w:firstLine="567"/>
        <w:jc w:val="both"/>
      </w:pPr>
      <w:r w:rsidRPr="00573DF5">
        <w:t>- Лестница с поручнями;</w:t>
      </w:r>
    </w:p>
    <w:p w:rsidR="00E65039" w:rsidRPr="00573DF5" w:rsidRDefault="00E65039" w:rsidP="00E65039">
      <w:pPr>
        <w:autoSpaceDE w:val="0"/>
        <w:autoSpaceDN w:val="0"/>
        <w:adjustRightInd w:val="0"/>
        <w:ind w:firstLine="567"/>
        <w:jc w:val="both"/>
      </w:pPr>
      <w:r w:rsidRPr="00573DF5">
        <w:t xml:space="preserve">Вдоль обеих сторон всех пандусов и открытых лестниц необходимо устанавливать ограждения с поручнями. Поручни следует располагать на высоте 0,9 м (в соответствии с п. 6.2.11 СП 59.13330.2020). </w:t>
      </w:r>
    </w:p>
    <w:p w:rsidR="00E65039" w:rsidRPr="00573DF5" w:rsidRDefault="00E65039" w:rsidP="00E65039">
      <w:pPr>
        <w:suppressAutoHyphens/>
        <w:ind w:firstLine="567"/>
        <w:jc w:val="both"/>
      </w:pPr>
      <w:r w:rsidRPr="00573DF5">
        <w:t>Краевые ступени (плоскость) лестниц необходимо обеспечить противоскользящими контрастными полосами общей шириной 0,08-0.1м. (в соответствии с п. 6.2.8 СП 59.13330.2020)</w:t>
      </w:r>
    </w:p>
    <w:p w:rsidR="00E65039" w:rsidRPr="00573DF5" w:rsidRDefault="00E65039" w:rsidP="00E65039">
      <w:pPr>
        <w:suppressAutoHyphens/>
        <w:ind w:firstLine="567"/>
        <w:jc w:val="both"/>
      </w:pPr>
      <w:r w:rsidRPr="00573DF5">
        <w:t>Применение для инвалидов вместо пандусов аппарелей не допускается на объекте (в соответствии с п. 6.1.2 СП 59.13330.2020).</w:t>
      </w:r>
    </w:p>
    <w:p w:rsidR="00E65039" w:rsidRPr="00573DF5" w:rsidRDefault="00E65039" w:rsidP="00E65039">
      <w:pPr>
        <w:suppressAutoHyphens/>
        <w:ind w:firstLine="567"/>
        <w:jc w:val="both"/>
        <w:rPr>
          <w:color w:val="000000"/>
        </w:rPr>
      </w:pPr>
      <w:r w:rsidRPr="00573DF5">
        <w:rPr>
          <w:color w:val="000000"/>
        </w:rPr>
        <w:t>- Ширина дверных проемов не менее 0,9 м. Прозрачное полотно двери необходимо оснастить яркой контрастной маркировкой. В проемах дверей допускаются пороги высотой не более 0,014 м. (</w:t>
      </w:r>
      <w:r w:rsidRPr="00573DF5">
        <w:t xml:space="preserve">в соответствии с </w:t>
      </w:r>
      <w:r w:rsidRPr="00573DF5">
        <w:rPr>
          <w:color w:val="000000"/>
        </w:rPr>
        <w:t>п.6.1.5, п. 6.1.6, п.6.2.4 СП 59.13330.2020)</w:t>
      </w:r>
    </w:p>
    <w:p w:rsidR="00E65039" w:rsidRPr="00573DF5" w:rsidRDefault="00E65039" w:rsidP="00E65039">
      <w:pPr>
        <w:suppressAutoHyphens/>
        <w:ind w:firstLine="567"/>
        <w:jc w:val="both"/>
      </w:pPr>
      <w:r w:rsidRPr="00573DF5">
        <w:t>- Тактильно-контрастные указатели;</w:t>
      </w:r>
    </w:p>
    <w:p w:rsidR="00E65039" w:rsidRPr="00573DF5" w:rsidRDefault="00E65039" w:rsidP="00E65039">
      <w:pPr>
        <w:suppressAutoHyphens/>
        <w:ind w:firstLine="567"/>
        <w:jc w:val="both"/>
      </w:pPr>
      <w:r w:rsidRPr="00573DF5">
        <w:t>В целях обеспечения безопасности необходимо иметь перед препятствиями доступного входа, началом опасного участка, перед внешней лестницей, предупреждающие тактильно-контрастные указатели</w:t>
      </w:r>
      <w:proofErr w:type="gramStart"/>
      <w:r w:rsidRPr="00573DF5">
        <w:t>.</w:t>
      </w:r>
      <w:proofErr w:type="gramEnd"/>
      <w:r w:rsidRPr="00573DF5">
        <w:t xml:space="preserve"> (</w:t>
      </w:r>
      <w:proofErr w:type="gramStart"/>
      <w:r w:rsidRPr="00573DF5">
        <w:t>в</w:t>
      </w:r>
      <w:proofErr w:type="gramEnd"/>
      <w:r w:rsidRPr="00573DF5">
        <w:t xml:space="preserve"> соответствии с п. 5.1.10 СП 59.13330.2020).</w:t>
      </w:r>
    </w:p>
    <w:p w:rsidR="00E65039" w:rsidRPr="00573DF5" w:rsidRDefault="00E65039" w:rsidP="00E65039">
      <w:pPr>
        <w:suppressAutoHyphens/>
        <w:ind w:firstLine="567"/>
        <w:jc w:val="both"/>
        <w:rPr>
          <w:b/>
        </w:rPr>
      </w:pPr>
      <w:r w:rsidRPr="00573DF5">
        <w:rPr>
          <w:b/>
        </w:rPr>
        <w:t>Пути движения внутри пункта (пунктов)</w:t>
      </w:r>
    </w:p>
    <w:p w:rsidR="00E65039" w:rsidRPr="00573DF5" w:rsidRDefault="00E65039" w:rsidP="00E65039">
      <w:pPr>
        <w:suppressAutoHyphens/>
        <w:ind w:firstLine="567"/>
        <w:jc w:val="both"/>
      </w:pPr>
      <w:r w:rsidRPr="00573DF5">
        <w:t>При перепадах высот Поставщик должен учитывать наличие следующих элементов:</w:t>
      </w:r>
    </w:p>
    <w:p w:rsidR="00E65039" w:rsidRPr="00573DF5" w:rsidRDefault="00E65039" w:rsidP="00E65039">
      <w:pPr>
        <w:suppressAutoHyphens/>
        <w:ind w:firstLine="567"/>
        <w:jc w:val="both"/>
      </w:pPr>
      <w:r w:rsidRPr="00573DF5">
        <w:t xml:space="preserve">- Лифт, подъемная платформа, эскалатор </w:t>
      </w:r>
    </w:p>
    <w:p w:rsidR="00E65039" w:rsidRPr="00573DF5" w:rsidRDefault="00E65039" w:rsidP="00E65039">
      <w:pPr>
        <w:suppressAutoHyphens/>
        <w:ind w:firstLine="567"/>
        <w:jc w:val="both"/>
        <w:rPr>
          <w:b/>
        </w:rPr>
      </w:pPr>
      <w:r w:rsidRPr="00573DF5">
        <w:t>(в соответствии с п. 6.2.13 – п. 6.2.18 СП 59.13330.2020).</w:t>
      </w:r>
      <w:r w:rsidRPr="00573DF5">
        <w:rPr>
          <w:b/>
        </w:rPr>
        <w:t xml:space="preserve"> </w:t>
      </w:r>
    </w:p>
    <w:p w:rsidR="00E65039" w:rsidRPr="00573DF5" w:rsidRDefault="00E65039" w:rsidP="00E65039">
      <w:pPr>
        <w:suppressAutoHyphens/>
        <w:ind w:firstLine="567"/>
        <w:jc w:val="both"/>
      </w:pPr>
      <w:r w:rsidRPr="00573DF5">
        <w:t>Лифт должен иметь габариты не менее 1100х1400 мм (ширина х глубина).</w:t>
      </w:r>
    </w:p>
    <w:p w:rsidR="00E65039" w:rsidRPr="00573DF5" w:rsidRDefault="00E65039" w:rsidP="00E65039">
      <w:pPr>
        <w:suppressAutoHyphens/>
        <w:ind w:firstLine="567"/>
        <w:jc w:val="both"/>
        <w:rPr>
          <w:b/>
        </w:rPr>
      </w:pPr>
      <w:r w:rsidRPr="00573DF5">
        <w:t>- Лестницы необходимо обеспечить противоскользящими контрастными полосами общей шириной 0,08-0.1м. (в соответствии с п. 6.2.8 СП 59.13330.2020).</w:t>
      </w:r>
    </w:p>
    <w:p w:rsidR="00E65039" w:rsidRPr="00573DF5" w:rsidRDefault="00E65039" w:rsidP="00E65039">
      <w:pPr>
        <w:suppressAutoHyphens/>
        <w:ind w:firstLine="567"/>
        <w:jc w:val="both"/>
      </w:pPr>
      <w:r w:rsidRPr="00573DF5">
        <w:t>-   Необходимо обеспечить зону досягаемости для посетителей в кресле-коляске в пределах, установленн</w:t>
      </w:r>
      <w:r>
        <w:t xml:space="preserve">ых в соответствии с п. 8.1.7 СП </w:t>
      </w:r>
      <w:r w:rsidRPr="00573DF5">
        <w:t>59.13330.2020.</w:t>
      </w:r>
    </w:p>
    <w:p w:rsidR="00E65039" w:rsidRPr="00573DF5" w:rsidRDefault="00E65039" w:rsidP="00E65039">
      <w:pPr>
        <w:suppressAutoHyphens/>
        <w:ind w:firstLine="567"/>
        <w:jc w:val="both"/>
      </w:pPr>
      <w:r w:rsidRPr="00573DF5">
        <w:lastRenderedPageBreak/>
        <w:t xml:space="preserve">- Помещение пункта (пунктов) приема </w:t>
      </w:r>
      <w:r w:rsidRPr="00573DF5">
        <w:rPr>
          <w:rFonts w:ascii="Times New Roman CYR" w:hAnsi="Times New Roman CYR" w:cs="Times New Roman CYR"/>
        </w:rPr>
        <w:t>Получателей</w:t>
      </w:r>
      <w:r w:rsidRPr="00573DF5">
        <w:t xml:space="preserve"> должно быть обеспечено техническими средствами информирования, ориентирования и сигнализации для однозначной идентификации объектов и мест посещения, получения информации о размещении и назначении функциональных элементов, об ассортименте и характере предоставляемых услуг, надежной ориентации в пространстве, своевременного предупреждения об опасности в экстремальных ситуациях, расположении путей эвакуации.</w:t>
      </w:r>
    </w:p>
    <w:p w:rsidR="00E65039" w:rsidRPr="00573DF5" w:rsidRDefault="00E65039" w:rsidP="00E65039">
      <w:pPr>
        <w:suppressAutoHyphens/>
        <w:ind w:firstLine="567"/>
        <w:jc w:val="both"/>
      </w:pPr>
      <w:r w:rsidRPr="00573DF5">
        <w:t>- Ширина дверных полотен, открытых проемов в стене на путях движения внутри пункта (пунктов) должна быть не менее 0,9 м. Дверные проемы не должны иметь порогов более 0,014 м. (в соответствии с п. 6.2.4 СП 59.13330.2020).</w:t>
      </w:r>
    </w:p>
    <w:p w:rsidR="00E65039" w:rsidRPr="00573DF5" w:rsidRDefault="00E65039" w:rsidP="00E65039">
      <w:pPr>
        <w:suppressAutoHyphens/>
        <w:ind w:firstLine="567"/>
        <w:jc w:val="both"/>
      </w:pPr>
      <w:r w:rsidRPr="00573DF5">
        <w:t>- В целях безопасности, участки пола на путях движения человека с инвалидностью должны быть оснащены тактильно-контрастными предупреждающими указателями (в соответствии с п.6.2.3 СП 59.13330.2020)</w:t>
      </w:r>
    </w:p>
    <w:p w:rsidR="00E65039" w:rsidRPr="00573DF5" w:rsidRDefault="00E65039" w:rsidP="00E65039">
      <w:pPr>
        <w:suppressAutoHyphens/>
        <w:ind w:firstLine="567"/>
        <w:jc w:val="both"/>
        <w:rPr>
          <w:b/>
        </w:rPr>
      </w:pPr>
      <w:r w:rsidRPr="00573DF5">
        <w:rPr>
          <w:b/>
        </w:rPr>
        <w:t>Пути эвакуации</w:t>
      </w:r>
    </w:p>
    <w:p w:rsidR="00E65039" w:rsidRPr="00573DF5" w:rsidRDefault="00E65039" w:rsidP="00E65039">
      <w:pPr>
        <w:suppressAutoHyphens/>
        <w:ind w:firstLine="567"/>
        <w:jc w:val="both"/>
      </w:pPr>
      <w:proofErr w:type="gramStart"/>
      <w:r w:rsidRPr="00573DF5">
        <w:t xml:space="preserve">В случае невозможности соблюдения положений </w:t>
      </w:r>
      <w:r w:rsidRPr="00573DF5">
        <w:rPr>
          <w:shd w:val="clear" w:color="auto" w:fill="FFFFFF"/>
        </w:rPr>
        <w:t xml:space="preserve">ч.15 ст.89 </w:t>
      </w:r>
      <w:hyperlink r:id="rId6" w:history="1">
        <w:r w:rsidRPr="00573DF5">
          <w:rPr>
            <w:color w:val="0000FF"/>
            <w:spacing w:val="2"/>
            <w:u w:val="single"/>
          </w:rPr>
          <w:t>Федерального закона от 22.07.2008 N 123-ФЗ «Технический регламент о требованиях пожарной безопасности</w:t>
        </w:r>
      </w:hyperlink>
      <w:r w:rsidRPr="00573DF5">
        <w:t>» помещения для обслуживания получателей должны быть предусмотрены не выше первого этажа, при этом во всех случаях пути эвакуации должны соответствовать требованиям СП 59.13330.2020 «Доступность зданий и сооружений для маломобильных групп населения».</w:t>
      </w:r>
      <w:proofErr w:type="gramEnd"/>
    </w:p>
    <w:p w:rsidR="00E65039" w:rsidRPr="00573DF5" w:rsidRDefault="00E65039" w:rsidP="00E65039">
      <w:pPr>
        <w:suppressAutoHyphens/>
        <w:ind w:firstLine="567"/>
        <w:jc w:val="both"/>
      </w:pPr>
      <w:r w:rsidRPr="00573DF5">
        <w:t xml:space="preserve">Пути эвакуации помещений пункта (пунктов) приема </w:t>
      </w:r>
      <w:r w:rsidRPr="00573DF5">
        <w:rPr>
          <w:rFonts w:ascii="Times New Roman CYR" w:hAnsi="Times New Roman CYR" w:cs="Times New Roman CYR"/>
        </w:rPr>
        <w:t>Получателей</w:t>
      </w:r>
      <w:r w:rsidRPr="00573DF5">
        <w:t xml:space="preserve"> должны обеспечивать безопасность посетителей в соответствии с п.6.2.19-п.6.2.32 СП 59.13330.2020.</w:t>
      </w:r>
    </w:p>
    <w:p w:rsidR="00E65039" w:rsidRPr="00573DF5" w:rsidRDefault="00E65039" w:rsidP="00E65039">
      <w:pPr>
        <w:suppressAutoHyphens/>
        <w:ind w:firstLine="567"/>
        <w:jc w:val="both"/>
      </w:pPr>
      <w:r w:rsidRPr="00573DF5">
        <w:t>Обеспечить систему двухсторонней связи с диспетчером или дежурным (в соответствии с п. 6.5.8 СП 59.13330.2020).</w:t>
      </w:r>
    </w:p>
    <w:p w:rsidR="00E65039" w:rsidRPr="00573DF5" w:rsidRDefault="00E65039" w:rsidP="00E65039">
      <w:pPr>
        <w:suppressAutoHyphens/>
        <w:ind w:firstLine="567"/>
        <w:jc w:val="both"/>
      </w:pPr>
      <w:r w:rsidRPr="00573DF5">
        <w:t xml:space="preserve">5.4. На территории пункта приема </w:t>
      </w:r>
      <w:r w:rsidRPr="00573DF5">
        <w:rPr>
          <w:rFonts w:ascii="Times New Roman CYR" w:hAnsi="Times New Roman CYR" w:cs="Times New Roman CYR"/>
        </w:rPr>
        <w:t>Получателей</w:t>
      </w:r>
      <w:r w:rsidRPr="00573DF5">
        <w:t xml:space="preserve"> должны иметься туалетные комнаты, оборудованные для посещения Получателями в соответствии с п. 5.22. </w:t>
      </w:r>
      <w:r w:rsidRPr="00573DF5">
        <w:rPr>
          <w:bCs/>
          <w:spacing w:val="2"/>
          <w:shd w:val="clear" w:color="auto" w:fill="FFFFFF"/>
        </w:rPr>
        <w:t>СП 44.13330.2011 Административные и бытовые здания. Актуализированная редакция СНиП 2.09.04-87</w:t>
      </w:r>
      <w:r w:rsidRPr="00573DF5">
        <w:t xml:space="preserve">, со свободным доступом Получателей. </w:t>
      </w:r>
      <w:proofErr w:type="gramStart"/>
      <w:r w:rsidRPr="00573DF5">
        <w:t>При чем</w:t>
      </w:r>
      <w:proofErr w:type="gramEnd"/>
      <w:r w:rsidRPr="00573DF5">
        <w:t xml:space="preserve"> не менее 1 (одной) оборудованной для посещения инвалидами в соответствии с п. 6.3.3, 6.3.6, </w:t>
      </w:r>
      <w:r w:rsidRPr="00573DF5">
        <w:rPr>
          <w:spacing w:val="2"/>
          <w:shd w:val="clear" w:color="auto" w:fill="FFFFFF"/>
        </w:rPr>
        <w:t>6.3.9</w:t>
      </w:r>
      <w:r w:rsidRPr="00573DF5">
        <w:t xml:space="preserve"> </w:t>
      </w:r>
      <w:hyperlink r:id="rId7" w:history="1">
        <w:r w:rsidRPr="00573DF5">
          <w:t>СП 59.13330.2020 «Доступность зданий и сооружений для маломобильных групп населения»</w:t>
        </w:r>
      </w:hyperlink>
      <w:r w:rsidRPr="00573DF5">
        <w:t>.</w:t>
      </w:r>
    </w:p>
    <w:p w:rsidR="00E65039" w:rsidRPr="00573DF5" w:rsidRDefault="00E65039" w:rsidP="00E65039">
      <w:pPr>
        <w:ind w:firstLine="567"/>
        <w:jc w:val="both"/>
      </w:pPr>
      <w:r w:rsidRPr="00573DF5">
        <w:t>5.5. Пунк</w:t>
      </w:r>
      <w:proofErr w:type="gramStart"/>
      <w:r w:rsidRPr="00573DF5">
        <w:t>т(</w:t>
      </w:r>
      <w:proofErr w:type="gramEnd"/>
      <w:r w:rsidRPr="00573DF5">
        <w:t xml:space="preserve">ы) приема </w:t>
      </w:r>
      <w:r w:rsidRPr="00573DF5">
        <w:rPr>
          <w:rFonts w:ascii="Times New Roman CYR" w:hAnsi="Times New Roman CYR" w:cs="Times New Roman CYR"/>
        </w:rPr>
        <w:t>Получателей</w:t>
      </w:r>
      <w:r w:rsidRPr="00573DF5">
        <w:t xml:space="preserve"> должен иметь отдельный вход с улицы, зону ожидания Получателей, оборудованную системой «электронной очереди» и мебелью для ожидания в сидячем положении. Максимальное время ожидания Получателей в очереди не должно превышать 15 минут. В случае если загруженность пункта (пунктов) приема </w:t>
      </w:r>
      <w:r w:rsidRPr="00573DF5">
        <w:rPr>
          <w:rFonts w:ascii="Times New Roman CYR" w:hAnsi="Times New Roman CYR" w:cs="Times New Roman CYR"/>
        </w:rPr>
        <w:t>Получателей</w:t>
      </w:r>
      <w:r w:rsidRPr="00573DF5">
        <w:t xml:space="preserve"> не позволяет обеспечить достижение указанного показателя, Поставщиком оборудуются дополнительные окна обслуживания.</w:t>
      </w:r>
    </w:p>
    <w:p w:rsidR="00E65039" w:rsidRPr="00573DF5" w:rsidRDefault="00E65039" w:rsidP="00E65039">
      <w:pPr>
        <w:suppressAutoHyphens/>
        <w:ind w:firstLine="567"/>
        <w:jc w:val="both"/>
      </w:pPr>
      <w:r w:rsidRPr="00573DF5">
        <w:t xml:space="preserve">5.6. Окна обслуживания должны быть оборудованы в зоне обслуживания Получателей. Зона обслуживания не должна располагаться в зоне ожидания. Зона ожидания и зона обслуживания </w:t>
      </w:r>
      <w:r w:rsidRPr="00573DF5">
        <w:rPr>
          <w:lang w:eastAsia="ar-SA"/>
        </w:rPr>
        <w:t xml:space="preserve">пункта </w:t>
      </w:r>
      <w:r w:rsidRPr="00573DF5">
        <w:t>(пунктов)</w:t>
      </w:r>
      <w:r w:rsidRPr="00573DF5">
        <w:rPr>
          <w:lang w:eastAsia="ar-SA"/>
        </w:rPr>
        <w:t xml:space="preserve"> приема</w:t>
      </w:r>
      <w:r w:rsidRPr="00573DF5">
        <w:t xml:space="preserve"> </w:t>
      </w:r>
      <w:r w:rsidRPr="00573DF5">
        <w:rPr>
          <w:rFonts w:ascii="Times New Roman CYR" w:hAnsi="Times New Roman CYR" w:cs="Times New Roman CYR"/>
        </w:rPr>
        <w:t>Получателей</w:t>
      </w:r>
      <w:r w:rsidRPr="00573DF5">
        <w:t xml:space="preserve"> должны быть предназначены для Получателей, их представителей и/или сопровождающих лиц, не должны находиться в подземных (подвальных) и цокольных этажах. </w:t>
      </w:r>
    </w:p>
    <w:p w:rsidR="00E65039" w:rsidRPr="00573DF5" w:rsidRDefault="00E65039" w:rsidP="00E65039">
      <w:pPr>
        <w:suppressAutoHyphens/>
        <w:ind w:firstLine="567"/>
        <w:jc w:val="both"/>
      </w:pPr>
      <w:r w:rsidRPr="00573DF5">
        <w:t>5.7. Товар должен находиться на складе пункта (пунктов) приема</w:t>
      </w:r>
      <w:r w:rsidRPr="00573DF5">
        <w:rPr>
          <w:rFonts w:ascii="Times New Roman CYR" w:hAnsi="Times New Roman CYR" w:cs="Times New Roman CYR"/>
        </w:rPr>
        <w:t xml:space="preserve"> Получателей</w:t>
      </w:r>
      <w:r w:rsidRPr="00573DF5">
        <w:t>, обеспечивающем его надлежащее хранение. Товар не должен находиться в зоне ожидания, в зоне обслуживания, в проходах, на путях эвакуации и других помещениях, не предназначенных для хранения.</w:t>
      </w:r>
    </w:p>
    <w:p w:rsidR="00E65039" w:rsidRPr="00573DF5" w:rsidRDefault="00E65039" w:rsidP="00E65039">
      <w:pPr>
        <w:widowControl w:val="0"/>
        <w:ind w:firstLine="567"/>
        <w:jc w:val="both"/>
      </w:pPr>
      <w:r w:rsidRPr="00573DF5">
        <w:t xml:space="preserve">5.8. </w:t>
      </w:r>
      <w:proofErr w:type="gramStart"/>
      <w:r w:rsidRPr="00573DF5">
        <w:t xml:space="preserve">Пункт (пункты) приема </w:t>
      </w:r>
      <w:r w:rsidRPr="00573DF5">
        <w:rPr>
          <w:rFonts w:ascii="Times New Roman CYR" w:hAnsi="Times New Roman CYR" w:cs="Times New Roman CYR"/>
        </w:rPr>
        <w:t>Получателей</w:t>
      </w:r>
      <w:r w:rsidRPr="00573DF5">
        <w:t xml:space="preserve"> должны иметь следующие условия доступности в соответствии с Приказом Министерства труда и социальной защиты РФ от 30 июля 2015 г. N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помощи»:</w:t>
      </w:r>
      <w:proofErr w:type="gramEnd"/>
    </w:p>
    <w:p w:rsidR="00E65039" w:rsidRPr="00573DF5" w:rsidRDefault="00E65039" w:rsidP="00E65039">
      <w:pPr>
        <w:widowControl w:val="0"/>
        <w:ind w:firstLine="567"/>
        <w:jc w:val="both"/>
      </w:pPr>
      <w:r w:rsidRPr="00573DF5">
        <w:t>- возможность беспрепятственного входа в объекты и выхода из них;</w:t>
      </w:r>
    </w:p>
    <w:p w:rsidR="00E65039" w:rsidRPr="00573DF5" w:rsidRDefault="00E65039" w:rsidP="00E65039">
      <w:pPr>
        <w:widowControl w:val="0"/>
        <w:ind w:firstLine="567"/>
        <w:jc w:val="both"/>
      </w:pPr>
      <w:r w:rsidRPr="00573DF5">
        <w:t xml:space="preserve">-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Pr="00573DF5">
        <w:t>ассистивных</w:t>
      </w:r>
      <w:proofErr w:type="spellEnd"/>
      <w:r w:rsidRPr="00573DF5">
        <w:t xml:space="preserve"> и вспомогательных технологий, а также сменного кресла-коляски;</w:t>
      </w:r>
    </w:p>
    <w:p w:rsidR="00E65039" w:rsidRPr="00573DF5" w:rsidRDefault="00E65039" w:rsidP="00E65039">
      <w:pPr>
        <w:widowControl w:val="0"/>
        <w:ind w:firstLine="567"/>
        <w:jc w:val="both"/>
      </w:pPr>
      <w:r w:rsidRPr="00573DF5">
        <w:t>- сопровождение инвалидов, имеющих стойкие нарушения функции зрения и самостоятельного передвижения по территории объекта;</w:t>
      </w:r>
    </w:p>
    <w:p w:rsidR="00E65039" w:rsidRPr="00573DF5" w:rsidRDefault="00E65039" w:rsidP="00E65039">
      <w:pPr>
        <w:widowControl w:val="0"/>
        <w:ind w:firstLine="567"/>
        <w:jc w:val="both"/>
      </w:pPr>
      <w:r w:rsidRPr="00573DF5">
        <w:t xml:space="preserve">- содействие инвалиду при входе в объект и выходе из него, информирование инвалида о </w:t>
      </w:r>
      <w:r w:rsidRPr="00573DF5">
        <w:lastRenderedPageBreak/>
        <w:t>доступных маршрутах общественного транспорта;</w:t>
      </w:r>
    </w:p>
    <w:p w:rsidR="00E65039" w:rsidRPr="00573DF5" w:rsidRDefault="00E65039" w:rsidP="00E65039">
      <w:pPr>
        <w:widowControl w:val="0"/>
        <w:ind w:firstLine="567"/>
        <w:jc w:val="both"/>
      </w:pPr>
      <w:r w:rsidRPr="00573DF5">
        <w:t>-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E65039" w:rsidRPr="00573DF5" w:rsidRDefault="00E65039" w:rsidP="00E65039">
      <w:pPr>
        <w:widowControl w:val="0"/>
        <w:ind w:firstLine="567"/>
        <w:jc w:val="both"/>
      </w:pPr>
      <w:proofErr w:type="gramStart"/>
      <w:r w:rsidRPr="00573DF5">
        <w:t xml:space="preserve">-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8" w:anchor="block_1000" w:history="1">
        <w:r w:rsidRPr="00573DF5">
          <w:t>форме</w:t>
        </w:r>
      </w:hyperlink>
      <w:r w:rsidRPr="00573DF5">
        <w:t xml:space="preserve"> и в </w:t>
      </w:r>
      <w:hyperlink r:id="rId9" w:anchor="block_2000" w:history="1">
        <w:r w:rsidRPr="00573DF5">
          <w:t>порядке</w:t>
        </w:r>
      </w:hyperlink>
      <w:r w:rsidRPr="00573DF5">
        <w:t xml:space="preserve">, утвержденных </w:t>
      </w:r>
      <w:hyperlink r:id="rId10" w:history="1">
        <w:r w:rsidRPr="00573DF5">
          <w:t>приказом</w:t>
        </w:r>
      </w:hyperlink>
      <w:r w:rsidRPr="00573DF5">
        <w:t xml:space="preserve"> Министерства труда и социальной защиты Российской Федерации от 22 июня 2015 г. N 386н (зарегистрирован Министерством юстиции Российской Федерации 21 июля 2015 г., регистрационный N 38115).</w:t>
      </w:r>
      <w:proofErr w:type="gramEnd"/>
    </w:p>
    <w:p w:rsidR="00E65039" w:rsidRPr="00573DF5" w:rsidRDefault="00E65039" w:rsidP="00E65039">
      <w:pPr>
        <w:ind w:firstLine="567"/>
        <w:jc w:val="both"/>
      </w:pPr>
      <w:r w:rsidRPr="00573DF5">
        <w:t xml:space="preserve">5.9. Заказчик вправе предоставить Поставщику без взимания платы помещение для организации пункта приема Получателей. Поставщик обязан организовать выдачу Товара в предложенном пункте приема.  </w:t>
      </w:r>
    </w:p>
    <w:p w:rsidR="00E65039" w:rsidRDefault="00E65039" w:rsidP="00E65039">
      <w:pPr>
        <w:ind w:firstLine="567"/>
        <w:jc w:val="both"/>
      </w:pPr>
      <w:r w:rsidRPr="00573DF5">
        <w:t xml:space="preserve">6. </w:t>
      </w:r>
      <w:r>
        <w:t>В случае выбора Получателем способа получения Товара по месту нахождения пункта (пунктов) приема</w:t>
      </w:r>
      <w:r>
        <w:rPr>
          <w:rFonts w:ascii="Times New Roman CYR" w:hAnsi="Times New Roman CYR" w:cs="Times New Roman CYR"/>
        </w:rPr>
        <w:t xml:space="preserve"> Получателей</w:t>
      </w:r>
      <w:r>
        <w:t>, организованных Поставщиком, передача Товара Получателю осуществляется в день обращения Получателя в пунк</w:t>
      </w:r>
      <w:proofErr w:type="gramStart"/>
      <w:r>
        <w:t>т(</w:t>
      </w:r>
      <w:proofErr w:type="gramEnd"/>
      <w:r>
        <w:t>-ы) приема</w:t>
      </w:r>
      <w:r>
        <w:rPr>
          <w:rFonts w:ascii="Times New Roman CYR" w:hAnsi="Times New Roman CYR" w:cs="Times New Roman CYR"/>
        </w:rPr>
        <w:t xml:space="preserve"> Получателей</w:t>
      </w:r>
      <w:r>
        <w:t xml:space="preserve"> с направлением, но не ранее 09.01.2025. На отрывном талоне направления Поставщик в обязательном порядке проставляет дату обращения Получателя.</w:t>
      </w:r>
      <w:r w:rsidRPr="00573DF5">
        <w:t xml:space="preserve"> </w:t>
      </w:r>
    </w:p>
    <w:p w:rsidR="00E65039" w:rsidRPr="00573DF5" w:rsidRDefault="00E65039" w:rsidP="00E65039">
      <w:pPr>
        <w:ind w:firstLine="567"/>
        <w:jc w:val="both"/>
      </w:pPr>
      <w:r w:rsidRPr="00573DF5">
        <w:t xml:space="preserve">6.1. </w:t>
      </w:r>
      <w:proofErr w:type="gramStart"/>
      <w:r w:rsidRPr="00573DF5">
        <w:t xml:space="preserve">В случае выбора Получателем способа получения Товара по месту нахождения пункта (пунктов) приема Получателей, организованных Поставщиком, передача Товара Получателям должна производиться в каждом из пунктов приема Получателей не менее </w:t>
      </w:r>
      <w:r>
        <w:t>5</w:t>
      </w:r>
      <w:r w:rsidRPr="00573DF5">
        <w:t xml:space="preserve"> (</w:t>
      </w:r>
      <w:r>
        <w:t>пяти</w:t>
      </w:r>
      <w:r w:rsidRPr="00573DF5">
        <w:t>) дней</w:t>
      </w:r>
      <w:r>
        <w:t xml:space="preserve"> в</w:t>
      </w:r>
      <w:r w:rsidRPr="00573DF5">
        <w:t xml:space="preserve"> неделю, не менее 40 (сорока) часов в неделю, при этом, время работы должно быть в интервале с 08:00 до 22:00.</w:t>
      </w:r>
      <w:proofErr w:type="gramEnd"/>
    </w:p>
    <w:p w:rsidR="00600B35" w:rsidRDefault="00E65039" w:rsidP="00600B35">
      <w:pPr>
        <w:ind w:firstLine="567"/>
        <w:jc w:val="both"/>
      </w:pPr>
      <w:r w:rsidRPr="00573DF5">
        <w:t xml:space="preserve">6.2. </w:t>
      </w:r>
      <w:proofErr w:type="gramStart"/>
      <w:r w:rsidRPr="00573DF5">
        <w:t xml:space="preserve">В случае выбора Получателем способа получения Товара путем передачи Товара по месту нахождения Получателя, такая доставка осуществляется Поставщиком в пределах </w:t>
      </w:r>
      <w:r>
        <w:t>Санкт-Петербурга и Ленинградской области</w:t>
      </w:r>
      <w:r w:rsidRPr="00573DF5">
        <w:t xml:space="preserve">, не менее чем с 10:00 до 21:00 не менее </w:t>
      </w:r>
      <w:r>
        <w:t>5</w:t>
      </w:r>
      <w:r w:rsidRPr="00573DF5">
        <w:t xml:space="preserve"> (</w:t>
      </w:r>
      <w:r>
        <w:t>пяти</w:t>
      </w:r>
      <w:r w:rsidRPr="00573DF5">
        <w:t xml:space="preserve">) дней </w:t>
      </w:r>
      <w:r>
        <w:t xml:space="preserve">в </w:t>
      </w:r>
      <w:r w:rsidRPr="00573DF5">
        <w:t>неделю, по предварительной записи по телефону, пред</w:t>
      </w:r>
      <w:r w:rsidR="00600B35">
        <w:t xml:space="preserve">оставленному Заказчику не позднее 1 (одного) рабочего </w:t>
      </w:r>
      <w:r w:rsidRPr="00573DF5">
        <w:t>дня</w:t>
      </w:r>
      <w:r w:rsidR="00600B35">
        <w:t xml:space="preserve"> с даты </w:t>
      </w:r>
      <w:r w:rsidRPr="00573DF5">
        <w:t xml:space="preserve">заключения </w:t>
      </w:r>
      <w:r w:rsidR="00600B35">
        <w:t xml:space="preserve">государственного </w:t>
      </w:r>
      <w:r w:rsidRPr="00573DF5">
        <w:t>контракта</w:t>
      </w:r>
      <w:r>
        <w:t>,</w:t>
      </w:r>
      <w:r w:rsidRPr="00466C13">
        <w:t xml:space="preserve"> </w:t>
      </w:r>
      <w:r>
        <w:t>но не</w:t>
      </w:r>
      <w:proofErr w:type="gramEnd"/>
      <w:r>
        <w:t xml:space="preserve"> ранее 09.01.2025</w:t>
      </w:r>
      <w:r w:rsidRPr="00573DF5">
        <w:t>. Доставка осуществляется за счет средств Поставщика.</w:t>
      </w:r>
      <w:r w:rsidR="00600B35">
        <w:t xml:space="preserve"> </w:t>
      </w:r>
    </w:p>
    <w:p w:rsidR="00E65039" w:rsidRPr="00573DF5" w:rsidRDefault="00E65039" w:rsidP="00E65039">
      <w:pPr>
        <w:suppressAutoHyphens/>
        <w:ind w:firstLine="567"/>
        <w:jc w:val="both"/>
      </w:pPr>
    </w:p>
    <w:p w:rsidR="00E65039" w:rsidRPr="00573DF5" w:rsidRDefault="00E65039" w:rsidP="00E65039">
      <w:pPr>
        <w:suppressAutoHyphens/>
        <w:ind w:firstLine="567"/>
        <w:jc w:val="both"/>
      </w:pPr>
      <w:r w:rsidRPr="00573DF5">
        <w:t>Поставщик обязан информировать Заказчика о невозможности доставки Товара Получателю не позднее дня, следующего за днем доставки, согласованным с Получателем.</w:t>
      </w:r>
    </w:p>
    <w:p w:rsidR="00E65039" w:rsidRPr="00573DF5" w:rsidRDefault="00E65039" w:rsidP="00E65039">
      <w:pPr>
        <w:autoSpaceDE w:val="0"/>
        <w:autoSpaceDN w:val="0"/>
        <w:adjustRightInd w:val="0"/>
        <w:ind w:firstLine="567"/>
        <w:jc w:val="both"/>
      </w:pPr>
      <w:r w:rsidRPr="00573DF5">
        <w:t>6.3. 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  <w:r w:rsidRPr="00962079">
        <w:t xml:space="preserve"> Срок поставки товара Получателям по первому переданному реестру исчисляется с 09.01.2025.</w:t>
      </w:r>
    </w:p>
    <w:p w:rsidR="00E65039" w:rsidRDefault="00E65039" w:rsidP="00E65039">
      <w:pPr>
        <w:suppressAutoHyphens/>
        <w:ind w:firstLine="567"/>
        <w:jc w:val="both"/>
      </w:pPr>
      <w:r w:rsidRPr="00573DF5">
        <w:t xml:space="preserve">6.4. </w:t>
      </w:r>
      <w:r>
        <w:t>С целью подтверждения соответствия поставляемого Товара по количеству, комплектности, ассортименту и качеству требованиям, установленным Техническим заданием, Заказчик по своему усмотрению производит сплошную и/или выборочную проверку Товара и соответствия пункта (пунктов) приема</w:t>
      </w:r>
      <w:r>
        <w:rPr>
          <w:rFonts w:ascii="Times New Roman CYR" w:hAnsi="Times New Roman CYR" w:cs="Times New Roman CYR"/>
        </w:rPr>
        <w:t xml:space="preserve"> Получателей</w:t>
      </w:r>
      <w:r>
        <w:t xml:space="preserve"> требованиям Технического задания в течение 2 (двух) рабочих дней </w:t>
      </w:r>
      <w:proofErr w:type="gramStart"/>
      <w:r>
        <w:t>с даты поставки</w:t>
      </w:r>
      <w:proofErr w:type="gramEnd"/>
      <w:r>
        <w:t xml:space="preserve"> Товара. При проведении проверки Заказчик вправе осуществлять </w:t>
      </w:r>
      <w:proofErr w:type="spellStart"/>
      <w:r>
        <w:t>фотофиксацию</w:t>
      </w:r>
      <w:proofErr w:type="spellEnd"/>
      <w:r>
        <w:t xml:space="preserve"> и/или видеозапись.</w:t>
      </w:r>
    </w:p>
    <w:p w:rsidR="00E65039" w:rsidRPr="00573DF5" w:rsidRDefault="00E65039" w:rsidP="00E65039">
      <w:pPr>
        <w:suppressAutoHyphens/>
        <w:ind w:firstLine="567"/>
        <w:jc w:val="both"/>
      </w:pPr>
      <w:r w:rsidRPr="00573DF5">
        <w:t xml:space="preserve">6.5. В случаях отказа от Товара Получателя, Поставщик обязан предоставить письменный отказ Получателя, либо акт телефонного разговора. Информация предоставляется на бумажном носителе сопроводительным письмом с приложением и в электронном виде по адресу </w:t>
      </w:r>
      <w:hyperlink r:id="rId11" w:history="1">
        <w:r w:rsidRPr="00573DF5">
          <w:rPr>
            <w:rStyle w:val="a3"/>
          </w:rPr>
          <w:t>osp@ro78.fss.ru</w:t>
        </w:r>
      </w:hyperlink>
      <w:r>
        <w:t>.</w:t>
      </w:r>
    </w:p>
    <w:p w:rsidR="00E65039" w:rsidRDefault="00E65039" w:rsidP="00E65039">
      <w:pPr>
        <w:suppressAutoHyphens/>
        <w:ind w:firstLine="567"/>
        <w:jc w:val="both"/>
      </w:pPr>
      <w:r w:rsidRPr="00573DF5">
        <w:t>7. При проведении экспертизы Товара на соответствие их условиям Технического задания, Поставщик должен предоставить необходимое для проведения экспертизы количество Товара. При этом предоставленное для экспертизы количество Товара не входит в общий объем Товара, предусмотренный Техническим заданием.</w:t>
      </w:r>
    </w:p>
    <w:p w:rsidR="00E65039" w:rsidRDefault="00E65039" w:rsidP="00E65039">
      <w:pPr>
        <w:jc w:val="both"/>
      </w:pPr>
    </w:p>
    <w:p w:rsidR="00E65039" w:rsidRDefault="00E65039" w:rsidP="00E65039">
      <w:pPr>
        <w:jc w:val="center"/>
        <w:rPr>
          <w:b/>
        </w:rPr>
      </w:pPr>
    </w:p>
    <w:p w:rsidR="006B33EF" w:rsidRDefault="006B33EF">
      <w:bookmarkStart w:id="0" w:name="_GoBack"/>
      <w:bookmarkEnd w:id="0"/>
    </w:p>
    <w:sectPr w:rsidR="006B33EF" w:rsidSect="00E238AC">
      <w:footnotePr>
        <w:numFmt w:val="chicago"/>
      </w:footnotePr>
      <w:pgSz w:w="11906" w:h="16838"/>
      <w:pgMar w:top="851" w:right="566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142F0"/>
    <w:multiLevelType w:val="hybridMultilevel"/>
    <w:tmpl w:val="8898C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870"/>
    <w:rsid w:val="003B32AD"/>
    <w:rsid w:val="003B5D42"/>
    <w:rsid w:val="00600B35"/>
    <w:rsid w:val="006B33EF"/>
    <w:rsid w:val="00A07870"/>
    <w:rsid w:val="00D93F45"/>
    <w:rsid w:val="00E6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03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65039"/>
    <w:rPr>
      <w:rFonts w:cs="Times New Roman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E6503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basedOn w:val="a0"/>
    <w:link w:val="a4"/>
    <w:uiPriority w:val="34"/>
    <w:locked/>
    <w:rsid w:val="00E650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03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65039"/>
    <w:rPr>
      <w:rFonts w:cs="Times New Roman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E6503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basedOn w:val="a0"/>
    <w:link w:val="a4"/>
    <w:uiPriority w:val="34"/>
    <w:locked/>
    <w:rsid w:val="00E65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1145140/53f89421bbdaf741eb2d1ecc4ddb4c33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minstroyrf.ru/docs/13225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42620598" TargetMode="External"/><Relationship Id="rId11" Type="http://schemas.openxmlformats.org/officeDocument/2006/relationships/hyperlink" Target="mailto:osp@ro78.fss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7114514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71145140/f7ee959fd36b5699076b35abf4f52c5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4683</Words>
  <Characters>26698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Егорченкова Екатерина Олеговна</dc:creator>
  <cp:keywords/>
  <dc:description/>
  <cp:lastModifiedBy>Егорченкова Екатерина Олеговна</cp:lastModifiedBy>
  <cp:revision>6</cp:revision>
  <dcterms:created xsi:type="dcterms:W3CDTF">2024-10-16T13:04:00Z</dcterms:created>
  <dcterms:modified xsi:type="dcterms:W3CDTF">2024-11-12T23:13:00Z</dcterms:modified>
</cp:coreProperties>
</file>