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517C61">
        <w:rPr>
          <w:rFonts w:ascii="Times New Roman" w:hAnsi="Times New Roman" w:cs="Times New Roman"/>
          <w:b/>
          <w:sz w:val="24"/>
          <w:szCs w:val="28"/>
        </w:rPr>
        <w:t>в</w:t>
      </w:r>
      <w:r w:rsidR="00517C61" w:rsidRPr="00517C61">
        <w:rPr>
          <w:rFonts w:ascii="Times New Roman" w:hAnsi="Times New Roman" w:cs="Times New Roman"/>
          <w:b/>
          <w:sz w:val="24"/>
          <w:szCs w:val="28"/>
        </w:rPr>
        <w:t xml:space="preserve">ыполнение работ </w:t>
      </w:r>
      <w:r w:rsidR="00F13575" w:rsidRPr="00F13575">
        <w:rPr>
          <w:rFonts w:ascii="Times New Roman" w:hAnsi="Times New Roman" w:cs="Times New Roman"/>
          <w:b/>
          <w:sz w:val="24"/>
          <w:szCs w:val="28"/>
        </w:rPr>
        <w:t>по изготовлению протеза бедра модульного с микропроцессорным управлением в 2024 году</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392DFA" w:rsidRPr="006122D6" w:rsidRDefault="00392DFA" w:rsidP="00F13575">
      <w:pPr>
        <w:jc w:val="both"/>
        <w:rPr>
          <w:rFonts w:ascii="Times New Roman" w:hAnsi="Times New Roman" w:cs="Times New Roman"/>
          <w:sz w:val="24"/>
        </w:rPr>
      </w:pPr>
      <w:r w:rsidRPr="006122D6">
        <w:rPr>
          <w:rFonts w:ascii="Times New Roman" w:hAnsi="Times New Roman" w:cs="Times New Roman"/>
          <w:b/>
          <w:sz w:val="24"/>
        </w:rPr>
        <w:t>1.</w:t>
      </w:r>
      <w:r w:rsidR="00F13575">
        <w:rPr>
          <w:rFonts w:ascii="Times New Roman" w:hAnsi="Times New Roman" w:cs="Times New Roman"/>
          <w:b/>
          <w:sz w:val="24"/>
          <w:lang w:val="en-US"/>
        </w:rPr>
        <w:t>3</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w:t>
      </w:r>
      <w:r w:rsidR="008E6DE5">
        <w:rPr>
          <w:rFonts w:ascii="Times New Roman" w:hAnsi="Times New Roman" w:cs="Times New Roman"/>
          <w:sz w:val="24"/>
        </w:rPr>
        <w:t xml:space="preserve"> в </w:t>
      </w:r>
      <w:r w:rsidR="00347A06">
        <w:rPr>
          <w:rFonts w:ascii="Times New Roman" w:hAnsi="Times New Roman" w:cs="Times New Roman"/>
          <w:sz w:val="24"/>
        </w:rPr>
        <w:t xml:space="preserve">г. </w:t>
      </w:r>
      <w:r w:rsidR="001D4B3E">
        <w:rPr>
          <w:rFonts w:ascii="Times New Roman" w:hAnsi="Times New Roman" w:cs="Times New Roman"/>
          <w:sz w:val="24"/>
        </w:rPr>
        <w:t>Хабаровск Хабаровского края</w:t>
      </w:r>
      <w:r w:rsidR="008E6DE5">
        <w:rPr>
          <w:rFonts w:ascii="Times New Roman" w:hAnsi="Times New Roman" w:cs="Times New Roman"/>
          <w:sz w:val="24"/>
        </w:rPr>
        <w:t xml:space="preserve"> </w:t>
      </w:r>
      <w:r w:rsidR="00347A06">
        <w:rPr>
          <w:rFonts w:ascii="Times New Roman" w:hAnsi="Times New Roman" w:cs="Times New Roman"/>
          <w:sz w:val="24"/>
        </w:rPr>
        <w:t>Российской Федерации</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F13575" w:rsidRPr="00F13575">
        <w:rPr>
          <w:rFonts w:ascii="Times New Roman" w:hAnsi="Times New Roman" w:cs="Times New Roman"/>
          <w:b/>
          <w:sz w:val="24"/>
        </w:rPr>
        <w:t>4</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1D4B3E">
        <w:rPr>
          <w:rFonts w:ascii="Times New Roman" w:hAnsi="Times New Roman" w:cs="Times New Roman"/>
          <w:sz w:val="24"/>
        </w:rPr>
        <w:t>02</w:t>
      </w:r>
      <w:r w:rsidR="00B82EEA">
        <w:rPr>
          <w:rFonts w:ascii="Times New Roman" w:hAnsi="Times New Roman" w:cs="Times New Roman"/>
          <w:sz w:val="24"/>
        </w:rPr>
        <w:t>.12.</w:t>
      </w:r>
      <w:r w:rsidR="008E7BF2">
        <w:rPr>
          <w:rFonts w:ascii="Times New Roman" w:hAnsi="Times New Roman" w:cs="Times New Roman"/>
          <w:sz w:val="24"/>
        </w:rPr>
        <w:t>2024.</w:t>
      </w:r>
    </w:p>
    <w:p w:rsidR="006122D6" w:rsidRPr="006122D6" w:rsidRDefault="00336FD4" w:rsidP="001D4B3E">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w:t>
      </w:r>
      <w:r w:rsidR="00F13575" w:rsidRPr="00F13575">
        <w:rPr>
          <w:rFonts w:ascii="Times New Roman" w:eastAsia="Arial" w:hAnsi="Times New Roman" w:cs="Times New Roman"/>
          <w:kern w:val="1"/>
          <w:sz w:val="24"/>
          <w:lang w:eastAsia="ar-SA" w:bidi="ar-SA"/>
        </w:rPr>
        <w:t>протез бедра модульн</w:t>
      </w:r>
      <w:r w:rsidR="00F13575">
        <w:rPr>
          <w:rFonts w:ascii="Times New Roman" w:eastAsia="Arial" w:hAnsi="Times New Roman" w:cs="Times New Roman"/>
          <w:kern w:val="1"/>
          <w:sz w:val="24"/>
          <w:lang w:eastAsia="ar-SA" w:bidi="ar-SA"/>
        </w:rPr>
        <w:t>ый</w:t>
      </w:r>
      <w:r w:rsidR="00F13575" w:rsidRPr="00F13575">
        <w:rPr>
          <w:rFonts w:ascii="Times New Roman" w:eastAsia="Arial" w:hAnsi="Times New Roman" w:cs="Times New Roman"/>
          <w:kern w:val="1"/>
          <w:sz w:val="24"/>
          <w:lang w:eastAsia="ar-SA" w:bidi="ar-SA"/>
        </w:rPr>
        <w:t xml:space="preserve"> с микропроцессорным управлением</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Pr>
          <w:rFonts w:ascii="Times New Roman" w:eastAsia="Arial" w:hAnsi="Times New Roman" w:cs="Times New Roman"/>
          <w:kern w:val="1"/>
          <w:sz w:val="24"/>
          <w:lang w:eastAsia="ar-SA" w:bidi="ar-SA"/>
        </w:rPr>
        <w:t xml:space="preserve">(далее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7F79D6">
        <w:rPr>
          <w:rFonts w:ascii="Times New Roman" w:eastAsia="Arial" w:hAnsi="Times New Roman" w:cs="Times New Roman"/>
          <w:kern w:val="1"/>
          <w:sz w:val="24"/>
          <w:lang w:eastAsia="ar-SA" w:bidi="ar-SA"/>
        </w:rPr>
        <w:t>е</w:t>
      </w:r>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7F79D6">
        <w:rPr>
          <w:rFonts w:ascii="Times New Roman" w:eastAsia="Arial" w:hAnsi="Times New Roman" w:cs="Times New Roman"/>
          <w:kern w:val="1"/>
          <w:sz w:val="24"/>
          <w:lang w:eastAsia="ar-SA" w:bidi="ar-SA"/>
        </w:rPr>
        <w:t>ем</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586A88" w:rsidRPr="006122D6" w:rsidTr="007F79D6">
        <w:trPr>
          <w:trHeight w:val="2345"/>
          <w:jc w:val="center"/>
        </w:trPr>
        <w:tc>
          <w:tcPr>
            <w:tcW w:w="562" w:type="dxa"/>
            <w:tcBorders>
              <w:left w:val="single" w:sz="1" w:space="0" w:color="000000"/>
              <w:bottom w:val="single" w:sz="1" w:space="0" w:color="000000"/>
            </w:tcBorders>
          </w:tcPr>
          <w:p w:rsidR="00586A88" w:rsidRPr="00EC74E1" w:rsidRDefault="00586A88"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1F7B57" w:rsidRDefault="008638FB" w:rsidP="000D0477">
            <w:pPr>
              <w:pStyle w:val="P273"/>
              <w:rPr>
                <w:rFonts w:eastAsia="Lucida Sans Unicode" w:cs="Times New Roman"/>
                <w:szCs w:val="24"/>
              </w:rPr>
            </w:pPr>
            <w:r w:rsidRPr="008638FB">
              <w:rPr>
                <w:rFonts w:eastAsia="Lucida Sans Unicode" w:cs="Times New Roman"/>
                <w:szCs w:val="24"/>
              </w:rPr>
              <w:t>Протез бедра модульный с микропроцессорным управлением</w:t>
            </w:r>
          </w:p>
          <w:p w:rsidR="00C87269" w:rsidRPr="00291FCC" w:rsidRDefault="00C87269" w:rsidP="008638FB">
            <w:pPr>
              <w:pStyle w:val="P273"/>
              <w:rPr>
                <w:rFonts w:eastAsia="Lucida Sans Unicode" w:cs="Times New Roman"/>
                <w:szCs w:val="24"/>
              </w:rPr>
            </w:pPr>
            <w:r>
              <w:rPr>
                <w:rFonts w:eastAsia="Lucida Sans Unicode" w:cs="Times New Roman"/>
                <w:szCs w:val="24"/>
              </w:rPr>
              <w:t>8-07-</w:t>
            </w:r>
            <w:r w:rsidR="00327B78">
              <w:rPr>
                <w:rFonts w:eastAsia="Lucida Sans Unicode" w:cs="Times New Roman"/>
                <w:szCs w:val="24"/>
              </w:rPr>
              <w:t>1</w:t>
            </w:r>
            <w:r w:rsidR="008638FB">
              <w:rPr>
                <w:rFonts w:eastAsia="Lucida Sans Unicode" w:cs="Times New Roman"/>
                <w:szCs w:val="24"/>
              </w:rPr>
              <w:t>2</w:t>
            </w:r>
          </w:p>
        </w:tc>
        <w:tc>
          <w:tcPr>
            <w:tcW w:w="5954" w:type="dxa"/>
            <w:vAlign w:val="center"/>
          </w:tcPr>
          <w:p w:rsidR="00586A88" w:rsidRPr="0084428F" w:rsidRDefault="008638FB" w:rsidP="007F79D6">
            <w:pPr>
              <w:jc w:val="both"/>
              <w:rPr>
                <w:rFonts w:ascii="Times New Roman" w:eastAsia="Times New Roman" w:hAnsi="Times New Roman" w:cs="Tahoma"/>
                <w:sz w:val="24"/>
              </w:rPr>
            </w:pPr>
            <w:r w:rsidRPr="008638FB">
              <w:rPr>
                <w:rFonts w:ascii="Times New Roman" w:eastAsia="Times New Roman" w:hAnsi="Times New Roman" w:cs="Tahoma"/>
                <w:sz w:val="24"/>
              </w:rPr>
              <w:t xml:space="preserve">1 Функционально – антропометрические данные: 1.1 Уровень ампутации: 1.1.3 Средняя треть бедра; 1.2 Состояние культи: 1.2.1 Функциональная; 1.3 Уровень активности: 1.3.3 3-4; 1.5 Протезирование: 1.5.1 Первичное; 1.4 Вес пациента, кг: 102; 2 Приемная гильза: 2.1 Наименование разновидности модуля (узла, элемента): 2.1.1 Приемная гильза; 2.2 Конструктивные особенности модуля (узла, элемента): 2.2.2 Комбинированная: несущая гильза жесткая, внутренняя - полужесткая; 3 Вкладные элементы: 3.1 Наименование разновидности модуля (узла, элемента): 3.1.1 Вкладная гильза из силикона; 4 Стопа: 4.1 Наименование разновидности модуля (узла, элемента): 4.1.1 Стопа; 4.2 Конструктивные особенности модуля (узла, элемента): 4.2.4 Стопа из композиционных материалов (энергосберегающая); 5 Коленный модуль: 5.1 Наименование разновидности модуля (узла, элемента): 5.1.1 Коленный модуль; 5.2 Конструктивные особенности </w:t>
            </w:r>
            <w:r w:rsidRPr="008638FB">
              <w:rPr>
                <w:rFonts w:ascii="Times New Roman" w:eastAsia="Times New Roman" w:hAnsi="Times New Roman" w:cs="Tahoma"/>
                <w:sz w:val="24"/>
              </w:rPr>
              <w:lastRenderedPageBreak/>
              <w:t>модуля (узла, элемента): 5.2.1 Коленный модуль с микропроцессорным управлением; 6 Дополнительный компонент (модуль) протеза: 6.1 Наименование разновидности модуля (узла, элемента): 6.1.4 Поворотное устройство; 7 Крепление: 7.1 Наименование разновидности модуля (узла, элемента): 7.1.1 Крепление; 7.2 Конструктивные особенности модуля (узла, элемента): 7.2.1 Вакуумное крепление; 8 Отделочные косметические элементы: 8.1 Наименование разновидности модуля (узла, элемента): 8.1.2 Мягкая облицовка</w:t>
            </w:r>
            <w:bookmarkStart w:id="0" w:name="_GoBack"/>
            <w:bookmarkEnd w:id="0"/>
          </w:p>
        </w:tc>
        <w:tc>
          <w:tcPr>
            <w:tcW w:w="1248" w:type="dxa"/>
          </w:tcPr>
          <w:p w:rsidR="00586A88" w:rsidRPr="006122D6" w:rsidRDefault="007F79D6"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935904" w:rsidRPr="006122D6" w:rsidTr="00BA3993">
        <w:trPr>
          <w:trHeight w:val="246"/>
          <w:jc w:val="center"/>
        </w:trPr>
        <w:tc>
          <w:tcPr>
            <w:tcW w:w="8784" w:type="dxa"/>
            <w:gridSpan w:val="3"/>
          </w:tcPr>
          <w:p w:rsidR="00935904" w:rsidRPr="006122D6" w:rsidRDefault="00935904"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lastRenderedPageBreak/>
              <w:t>ИТОГО:</w:t>
            </w:r>
          </w:p>
        </w:tc>
        <w:tc>
          <w:tcPr>
            <w:tcW w:w="1248" w:type="dxa"/>
            <w:vAlign w:val="center"/>
          </w:tcPr>
          <w:p w:rsidR="00935904" w:rsidRPr="006122D6" w:rsidRDefault="007F79D6"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1</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 долж</w:t>
      </w:r>
      <w:r w:rsidR="007F79D6">
        <w:rPr>
          <w:rFonts w:ascii="Times New Roman" w:eastAsia="Times New Roman" w:hAnsi="Times New Roman" w:cs="Times New Roman"/>
          <w:kern w:val="0"/>
          <w:sz w:val="24"/>
          <w:lang w:eastAsia="ru-RU" w:bidi="ar-SA"/>
        </w:rPr>
        <w:t>ен</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7F79D6">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7F79D6">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w:t>
      </w:r>
      <w:r w:rsidR="007F79D6">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7F79D6">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7F79D6">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7F79D6">
        <w:rPr>
          <w:rFonts w:ascii="Times New Roman" w:eastAsia="Times New Roman" w:hAnsi="Times New Roman" w:cs="Times New Roman"/>
          <w:kern w:val="0"/>
          <w:sz w:val="24"/>
          <w:lang w:eastAsia="ru-RU" w:bidi="ar-SA"/>
        </w:rPr>
        <w:t>а</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w:t>
      </w:r>
      <w:r w:rsidR="007F79D6">
        <w:rPr>
          <w:rFonts w:ascii="Times New Roman" w:eastAsia="Times New Roman" w:hAnsi="Times New Roman" w:cs="Times New Roman"/>
          <w:kern w:val="0"/>
          <w:sz w:val="24"/>
          <w:lang w:eastAsia="ru-RU" w:bidi="ar-SA"/>
        </w:rPr>
        <w:t>а</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2C674A" w:rsidP="002C674A">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3C3CBD">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Протез долж</w:t>
      </w:r>
      <w:r w:rsidR="007F79D6">
        <w:rPr>
          <w:rFonts w:ascii="Times New Roman" w:eastAsia="Times New Roman" w:hAnsi="Times New Roman" w:cs="Times New Roman"/>
          <w:kern w:val="0"/>
          <w:sz w:val="24"/>
          <w:lang w:eastAsia="ru-RU" w:bidi="ar-SA"/>
        </w:rPr>
        <w:t>ен</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7F79D6">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w:t>
      </w:r>
      <w:r w:rsidRPr="00822020">
        <w:rPr>
          <w:rFonts w:ascii="Times New Roman" w:hAnsi="Times New Roman"/>
          <w:sz w:val="24"/>
        </w:rPr>
        <w:lastRenderedPageBreak/>
        <w:t>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53AD4"/>
    <w:rsid w:val="00157E2C"/>
    <w:rsid w:val="00160BB0"/>
    <w:rsid w:val="00164BB4"/>
    <w:rsid w:val="001716BE"/>
    <w:rsid w:val="0017270F"/>
    <w:rsid w:val="00172A78"/>
    <w:rsid w:val="00173484"/>
    <w:rsid w:val="00184AD7"/>
    <w:rsid w:val="00185CCC"/>
    <w:rsid w:val="001863A5"/>
    <w:rsid w:val="00186CBB"/>
    <w:rsid w:val="001874CA"/>
    <w:rsid w:val="001933ED"/>
    <w:rsid w:val="001A4AF8"/>
    <w:rsid w:val="001B412C"/>
    <w:rsid w:val="001D2CA5"/>
    <w:rsid w:val="001D4B3E"/>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27B78"/>
    <w:rsid w:val="00336FD4"/>
    <w:rsid w:val="00347A06"/>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765D"/>
    <w:rsid w:val="00517C61"/>
    <w:rsid w:val="0052308D"/>
    <w:rsid w:val="0054690C"/>
    <w:rsid w:val="00555D6D"/>
    <w:rsid w:val="00563E8C"/>
    <w:rsid w:val="005708AB"/>
    <w:rsid w:val="005773BB"/>
    <w:rsid w:val="00586A88"/>
    <w:rsid w:val="00586BB5"/>
    <w:rsid w:val="005918B2"/>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F4527"/>
    <w:rsid w:val="006F573A"/>
    <w:rsid w:val="00702E4D"/>
    <w:rsid w:val="007200B8"/>
    <w:rsid w:val="00726BB0"/>
    <w:rsid w:val="00735C46"/>
    <w:rsid w:val="00746500"/>
    <w:rsid w:val="00752B5D"/>
    <w:rsid w:val="007619E1"/>
    <w:rsid w:val="007709C2"/>
    <w:rsid w:val="007805AD"/>
    <w:rsid w:val="0078696C"/>
    <w:rsid w:val="00786DBB"/>
    <w:rsid w:val="007E7838"/>
    <w:rsid w:val="007F79D6"/>
    <w:rsid w:val="0080784A"/>
    <w:rsid w:val="00820995"/>
    <w:rsid w:val="00822020"/>
    <w:rsid w:val="0082469A"/>
    <w:rsid w:val="0083037D"/>
    <w:rsid w:val="008434C6"/>
    <w:rsid w:val="008505CF"/>
    <w:rsid w:val="00850B08"/>
    <w:rsid w:val="00851A30"/>
    <w:rsid w:val="00854ED7"/>
    <w:rsid w:val="008638FB"/>
    <w:rsid w:val="00872702"/>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42E47"/>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10D4"/>
    <w:rsid w:val="00A41603"/>
    <w:rsid w:val="00A5518F"/>
    <w:rsid w:val="00A56C11"/>
    <w:rsid w:val="00A71B01"/>
    <w:rsid w:val="00A73574"/>
    <w:rsid w:val="00A921B0"/>
    <w:rsid w:val="00A96AEF"/>
    <w:rsid w:val="00AB2277"/>
    <w:rsid w:val="00AD0E98"/>
    <w:rsid w:val="00AF4672"/>
    <w:rsid w:val="00B01EAD"/>
    <w:rsid w:val="00B03EB1"/>
    <w:rsid w:val="00B05C3C"/>
    <w:rsid w:val="00B342A5"/>
    <w:rsid w:val="00B53AF2"/>
    <w:rsid w:val="00B6053F"/>
    <w:rsid w:val="00B73B28"/>
    <w:rsid w:val="00B8029D"/>
    <w:rsid w:val="00B82EEA"/>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661C6"/>
    <w:rsid w:val="00E817AD"/>
    <w:rsid w:val="00E91F28"/>
    <w:rsid w:val="00E94F4A"/>
    <w:rsid w:val="00EB0FE7"/>
    <w:rsid w:val="00EB3153"/>
    <w:rsid w:val="00EC15B2"/>
    <w:rsid w:val="00EC74E1"/>
    <w:rsid w:val="00EE4E15"/>
    <w:rsid w:val="00EF1571"/>
    <w:rsid w:val="00EF17E3"/>
    <w:rsid w:val="00EF18AB"/>
    <w:rsid w:val="00F0326A"/>
    <w:rsid w:val="00F13575"/>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6ED1-AEA3-4407-955E-851486C9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3</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230</cp:revision>
  <cp:lastPrinted>2024-09-12T06:36:00Z</cp:lastPrinted>
  <dcterms:created xsi:type="dcterms:W3CDTF">2022-02-07T06:16:00Z</dcterms:created>
  <dcterms:modified xsi:type="dcterms:W3CDTF">2024-09-16T05:14:00Z</dcterms:modified>
</cp:coreProperties>
</file>