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cs="Times New Roman"/>
          <w:i/>
          <w:iCs/>
          <w:sz w:val="20"/>
          <w:szCs w:val="20"/>
        </w:rPr>
        <w:t xml:space="preserve">           </w:t>
      </w:r>
      <w:r>
        <w:rPr>
          <w:rFonts w:cs="Times New Roman"/>
          <w:i/>
          <w:iCs/>
          <w:sz w:val="20"/>
          <w:szCs w:val="20"/>
        </w:rPr>
        <w:t xml:space="preserve">Приложение № 1 </w:t>
      </w:r>
    </w:p>
    <w:p>
      <w:pPr>
        <w:pStyle w:val="Normal"/>
        <w:widowControl w:val="false"/>
        <w:spacing w:lineRule="auto" w:line="240" w:before="0" w:after="0"/>
        <w:jc w:val="right"/>
        <w:rPr>
          <w:i/>
          <w:i/>
          <w:iCs/>
        </w:rPr>
      </w:pPr>
      <w:r>
        <w:rPr>
          <w:rFonts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cs="Times New Roman"/>
          <w:i/>
          <w:iCs/>
          <w:sz w:val="20"/>
          <w:szCs w:val="20"/>
        </w:rPr>
        <w:t xml:space="preserve">к извещению об                       осуществлении закупки     </w:t>
      </w:r>
    </w:p>
    <w:p>
      <w:pPr>
        <w:pStyle w:val="Normal"/>
        <w:keepNext w:val="true"/>
        <w:keepLines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ОПИСАНИЕ ОБЪЕКТА ЗАКУПКИ</w:t>
      </w:r>
    </w:p>
    <w:p>
      <w:pPr>
        <w:pStyle w:val="NormalIndent"/>
        <w:keepNext w:val="true"/>
        <w:keepLines/>
        <w:spacing w:lineRule="auto" w:line="276"/>
        <w:rPr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  <w:r>
        <w:rPr>
          <w:sz w:val="24"/>
          <w:szCs w:val="24"/>
        </w:rPr>
        <w:t xml:space="preserve"> выполнение работ по изготовлению ортезов (аппаратов на нижние конечности) в 2025 году.</w:t>
      </w:r>
    </w:p>
    <w:p>
      <w:pPr>
        <w:pStyle w:val="Normal"/>
        <w:keepNext w:val="true"/>
        <w:keepLines/>
        <w:tabs>
          <w:tab w:val="clear" w:pos="708"/>
          <w:tab w:val="left" w:pos="851" w:leader="none"/>
          <w:tab w:val="left" w:pos="993" w:leader="none"/>
        </w:tabs>
        <w:suppressAutoHyphens w:val="true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Место выполнения работ: </w:t>
      </w:r>
      <w:r>
        <w:rPr>
          <w:rFonts w:cs="Times New Roman" w:ascii="Times New Roman" w:hAnsi="Times New Roman"/>
          <w:color w:val="000000"/>
          <w:sz w:val="24"/>
          <w:szCs w:val="24"/>
        </w:rPr>
        <w:t>Российская Федерация, по месту нахождения Подрядчика.</w:t>
      </w:r>
    </w:p>
    <w:p>
      <w:pPr>
        <w:pStyle w:val="Normal"/>
        <w:keepNext w:val="true"/>
        <w:keepLines/>
        <w:tabs>
          <w:tab w:val="clear" w:pos="708"/>
          <w:tab w:val="left" w:pos="851" w:leader="none"/>
          <w:tab w:val="left" w:pos="993" w:leader="none"/>
        </w:tabs>
        <w:suppressAutoHyphens w:val="true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Требования к количеству: в соответствии с частью 24 статьи 22 Федерального закона от 05.04.2013 № 44-ФЗ объем подлежащий выполнению работ невозможно определить.</w:t>
      </w:r>
    </w:p>
    <w:p>
      <w:pPr>
        <w:pStyle w:val="Normal"/>
        <w:keepNext w:val="true"/>
        <w:keepLines/>
        <w:tabs>
          <w:tab w:val="clear" w:pos="708"/>
          <w:tab w:val="left" w:pos="851" w:leader="none"/>
          <w:tab w:val="left" w:pos="993" w:leader="none"/>
        </w:tabs>
        <w:suppressAutoHyphens w:val="true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Объем выполняемых работ определяется на основании заявок Заказчика в соответствии с потребностью.</w:t>
      </w:r>
    </w:p>
    <w:p>
      <w:pPr>
        <w:pStyle w:val="Normal"/>
        <w:keepNext w:val="true"/>
        <w:keepLines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Св</w:t>
      </w:r>
      <w:r>
        <w:rPr>
          <w:rFonts w:cs="Times New Roman" w:ascii="Times New Roman" w:hAnsi="Times New Roman"/>
          <w:b/>
          <w:sz w:val="24"/>
          <w:szCs w:val="24"/>
        </w:rPr>
        <w:t>едения об объекте закупки:</w:t>
      </w:r>
    </w:p>
    <w:tbl>
      <w:tblPr>
        <w:tblW w:w="11341" w:type="dxa"/>
        <w:jc w:val="left"/>
        <w:tblInd w:w="-14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52"/>
        <w:gridCol w:w="1854"/>
        <w:gridCol w:w="1657"/>
        <w:gridCol w:w="616"/>
        <w:gridCol w:w="707"/>
        <w:gridCol w:w="1702"/>
        <w:gridCol w:w="4252"/>
      </w:tblGrid>
      <w:tr>
        <w:trPr>
          <w:trHeight w:val="690" w:hRule="atLeast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before="120" w:after="120"/>
              <w:jc w:val="center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Наименование изделия</w:t>
            </w:r>
          </w:p>
          <w:p>
            <w:pPr>
              <w:pStyle w:val="Normal"/>
              <w:keepNext w:val="true"/>
              <w:widowControl w:val="false"/>
              <w:spacing w:before="120" w:after="120"/>
              <w:jc w:val="center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ОКПД2/</w:t>
            </w:r>
          </w:p>
          <w:p>
            <w:pPr>
              <w:pStyle w:val="Normal"/>
              <w:keepNext w:val="true"/>
              <w:widowControl w:val="false"/>
              <w:spacing w:before="120" w:after="120"/>
              <w:jc w:val="center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 xml:space="preserve">КТРУ/ </w:t>
            </w:r>
          </w:p>
          <w:p>
            <w:pPr>
              <w:pStyle w:val="Normal"/>
              <w:keepNext w:val="true"/>
              <w:widowControl w:val="false"/>
              <w:spacing w:before="120" w:after="120"/>
              <w:jc w:val="center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КОЗ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Кол-во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Ед. изм.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Функциональные, технические и качественные характеристики</w:t>
            </w:r>
          </w:p>
        </w:tc>
      </w:tr>
      <w:tr>
        <w:trPr>
          <w:trHeight w:val="750" w:hRule="atLeast"/>
        </w:trPr>
        <w:tc>
          <w:tcPr>
            <w:tcW w:w="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Значение характеристики</w:t>
            </w:r>
          </w:p>
        </w:tc>
      </w:tr>
      <w:tr>
        <w:trPr>
          <w:trHeight w:val="345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uppressAutoHyphens w:val="true"/>
              <w:ind w:lef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Аппарат на голеностопный сустав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32.50.22.129/ отсутствует/ 01.28.08.09.37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uppressAutoHyphens w:val="true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8-09-37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Аппарат на голеностопный сустав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Основные характеристики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Аппарат на голеностопный сустав, поддерживающий, фиксирующий, разгружающий, гильза голени и башмачок должны быть кожаные с голеностопным шарниром, или аппарат с гильзой голени и ложементом для стопы, выполненных на основе акриловых смол или термопласта высокотемпературного и низкотемпературного с голеностопным шарниром (тип применяемого материала зависит от индивидуальных особенностей пациента). Аппарат должен выполняться с элементами крепления, обеспечивающими надежную фиксацию изделия на конечности пациента.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Изготовление – по индивидуальному слепку, назначение – постоянное.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ru-RU"/>
              </w:rPr>
              <w:t>Аппарат на голеностопный и коленный суставы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ru-RU"/>
              </w:rPr>
              <w:t>32.50.22.129/ отсутствует 01.28.08.09.38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ru-RU"/>
              </w:rPr>
              <w:t>8-09-38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ru-RU"/>
              </w:rPr>
              <w:t>Аппарат на голеностопный и коленный суставы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Основные характеристики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Аппарат на голеностопный и коленный суставы, поддерживающий, фиксирующий, разгружающий, гильза голени, бедра и башмачок - кожаные с голеностопным и коленным шарниром, или аппарат с гильзой голени, бедра и ложементом для стопы, выполненных на основе акриловых смол или термопласта высокотемпературного и низкотемпературного с голеностопными коленным шарниром (тип применяемого материала зависит от индивидуальных особенностей пациента). Аппарат будет выполнятся с элементами крепления, обеспечивающими надежную фиксацию изделия на конечности пациента.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Изготовление – по индивидуальному слепку, назначение – постоянное.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ru-RU"/>
              </w:rPr>
              <w:t>Аппарат на коленный сустав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ru-RU"/>
              </w:rPr>
              <w:t>32.50.22.129/ отсутствует/ 01.28.08.09.39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ru-RU"/>
              </w:rPr>
              <w:t>8-09-39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ru-RU"/>
              </w:rPr>
              <w:t>Аппарат на коленный сустав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Основные характеристики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Аппарат на коленный сустав, поддерживающий, фиксирующий, разгружающий, гильзы голени и бедра - кожаные или выполнены на основе акриловых смол или из термопласта высокотемпературного и низкотемпературного (тип применяемого материала зависит от индивидуальных особенностей пациента), с коленным шарниром, с замком или без замка в коленном шарнире (в зависимости от медицинских показаний для конкретного пациента). Аппарат будет выполняться с элементами крепления, обеспечивающими надежную фиксацию изделия на конечности пациента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Изготовление – по индивидуальному слепку, назначение – постоянное.</w:t>
            </w:r>
          </w:p>
        </w:tc>
      </w:tr>
      <w:tr>
        <w:trPr>
          <w:trHeight w:val="117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uppressAutoHyphens w:val="true"/>
              <w:ind w:lef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Аппарат на тазобедренный сустав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32.50.22.129/ отсутствует/ 01.28.08.09.40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uppressAutoHyphens w:val="true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8-09-40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Аппарат на тазобедренный сустав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Основные характеристики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Аппарат на тазобедренный сустав, поддерживающий, фиксирующий, разгружающий, гильза бедра должна быть кожаная или выполнена на основе акриловых смол или из термопласта высокотемпературного и низкотемпературного (тип применяемого материала зависит от индивидуальных особенностей пациента), с тазобедренным шарниром. С дополнительным креплением на туловище в виде корсета или полукорсета. Аппарат должен выполняться с элементами крепления, обеспечивающими надежную фиксацию изделия на пациенте.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Изготовление – по индивидуальному слепку, назначение – постоянное.</w:t>
            </w:r>
          </w:p>
        </w:tc>
      </w:tr>
      <w:tr>
        <w:trPr>
          <w:trHeight w:val="1335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uppressAutoHyphens w:val="true"/>
              <w:ind w:lef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Аппарат на всю ногу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32.50.22.129/ отсутствует/ 01.28.08.09.42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uppressAutoHyphens w:val="true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8-09-42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Аппарат на всю ногу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Основные характеристики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uppressLineNumbers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Аппарат на всю ногу, поддерживающий, фиксирующий, разгружающий, гильзы должны быть кожаные с шинами, с сидением или без сидения, с башмачком или с креплением к ботинку, с голеностопным и коленным шарнирами, с замком или без замка в коленном шарнире (в зависимости от медицинских назначений для конкретного пациента), либо аппарат с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гильзой голени, бедра и ложемент стопы должны быть изготовлены из слоистого пластика на основе акриловых смол или из термопласта высокотемпературного и низкотемпературного (тип применяемого материала зависит от индивидуальных особенностей пациента) со смягчающим вкладышем из вспененного упругого материала, гильзы между собой должны быть соединены коленными и голеностопными шарнирами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.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Коленный шарнир может быть замковый или беззамковый (в зависимости от медицинских показаний для конкретного пациента). При изготовлении аппарата должны применяться шарниры (модули) и комплектующие с улучшенными свойствами.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При необходимости должно выполняться дополнительное крепление на туловище в виде корсета (полукорсета) с использованием тазобедренного шарнира.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Аппарат должен выполняться с элементами крепления, обеспечивающими надежную фиксацию изделия на пациенте.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Изготовление – по индивидуальному слепку, назначение –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постоянное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.</w:t>
            </w:r>
          </w:p>
        </w:tc>
      </w:tr>
      <w:tr>
        <w:trPr>
          <w:trHeight w:val="4965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uppressAutoHyphens w:val="true"/>
              <w:ind w:lef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Аппарат на нижние конечности и туловище (ортез)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32.50.22.129/ отсутствует/ 01.28.08.09.43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uppressAutoHyphens w:val="true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8-09-43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Аппарат на нижние конечности и туловище (ортез)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Основные характеристики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uppressAutoHyphens w:val="true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Аппарат на нижние конечности и туловище (ортез), поддерживающий, фиксирующий, разгружающий, гильзы голеней, бедер и ложементы стопы должны быть из слоистого пластика на основе акриловых смол или из термопласта высокотемпературного и низкотемпературного (тип применяемого материала зависит от индивидуальных особенностей пациента) со смягчающим вкладышем из вспененного упругого материала, или гильзы голеней, бедра и башмачки кожаные с шинами. Гильзы между собой должны быть соединены коленными и голеностопными шарнирами. Коленный шарнир может быть замковый или беззамковый (в зависимости от медицинских показаний для конкретного пациента). Аппарат должен быть снабжен корсетом на туловище, соединенным с гильзами бедра тазобедренными шарнирами. Аппарат выполняется с элементами крепления, обеспечивающими надежную фиксацию изделия на пациенте.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Изготовление – по индивидуальному слепку, назначение – постоянное.</w:t>
            </w:r>
          </w:p>
        </w:tc>
      </w:tr>
      <w:tr>
        <w:trPr>
          <w:trHeight w:val="25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Аппарат на всю ногу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32.50.22.129/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отсутствует/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01.29.08.09.42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8-09-42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Аппарат на всю ногу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Основные характеристики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Аппарат на всю ногу, поддерживающий, фиксирующий, разгружающий, гильзы должны быть кожаные с шинами, с сидением или без сидения, с башмачком или с креплением к ботинку, с голеностопным и коленным шарнирами, с замком или без замка в коленном шарнире (в зависимости от медицинских назначений для конкретного пациента), либо аппарат с гильзой голени, бедра и ложемент стопы должны быть изготовлены из слоистого пластика на основе акриловых смол или из термопласта высокотемпературного и низкотемпературного (тип применяемого материала зависит от индивидуальных особенностей пациента) со смягчающим вкладышем из вспененного упругого материала, гильзы между собой должны быть соединены коленными и голеностопными шарнирами. Коленный шарнир может быть замковый или беззамковый (в зависимости от медицинских показаний для конкретного пациента). При изготовлении аппарата должны применяться шарниры (модули) и комплектующие с улучшенными свойствами. При необходимости должно выполняться дополнительное крепление на туловище в виде корсета (полукорсета) с использованием тазобедренного шарнира. Аппарат должен выполняться с элементами крепления, обеспечивающими надежную фиксацию изделия на пациенте. Изготовление – по индивидуальному слепку, назначение – постоянное.</w:t>
            </w:r>
          </w:p>
        </w:tc>
      </w:tr>
    </w:tbl>
    <w:p>
      <w:pPr>
        <w:pStyle w:val="Normal"/>
        <w:keepNext w:val="true"/>
        <w:keepLines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Требования к качеству.</w:t>
      </w:r>
    </w:p>
    <w:p>
      <w:pPr>
        <w:pStyle w:val="Normal"/>
        <w:keepNext w:val="true"/>
        <w:keepLines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keepNext w:val="true"/>
        <w:keepLines/>
        <w:spacing w:lineRule="auto" w:line="240" w:before="0"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Качество изготавливаемых Изделий должно соответствовать государственным стандартам (ГОСТ), действующим на территории Российской Федерации, в том числе: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08"/>
          <w:tab w:val="left" w:pos="0" w:leader="none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ГОСТ Р 51632-2021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испытаний;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08"/>
          <w:tab w:val="left" w:pos="0" w:leader="none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ГОСТ Р ИСО 9999-2019 </w:t>
      </w:r>
      <w:r>
        <w:rPr>
          <w:rFonts w:cs="Times New Roman" w:ascii="Times New Roman" w:hAnsi="Times New Roman"/>
          <w:sz w:val="24"/>
          <w:szCs w:val="24"/>
        </w:rPr>
        <w:t xml:space="preserve">Национальный стандарт Российской Федерации. </w:t>
      </w:r>
      <w:r>
        <w:rPr>
          <w:rFonts w:cs="Times New Roman" w:ascii="Times New Roman" w:hAnsi="Times New Roman"/>
          <w:sz w:val="24"/>
          <w:szCs w:val="24"/>
          <w:lang w:eastAsia="zh-CN"/>
        </w:rPr>
        <w:t>Вспомогательные средства для людей с ограничениями жизнедеятельности. Классификация и терминология;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08"/>
          <w:tab w:val="left" w:pos="0" w:leader="none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ГОСТ Р 57765-2021 Национальный стандарт Российской Федерации. Изделия протезно-ортопедические. Общие технические требования;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  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08"/>
          <w:tab w:val="left" w:pos="0" w:leader="none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ГОСТ Р 56137-2021. Национальный стандарт Российской Федерации. Протезирование и ортезирование. Контроль качества протезов и ортезов верхних и нижних конечностей с индивидуальными параметрами изготовления;</w:t>
      </w:r>
    </w:p>
    <w:p>
      <w:pPr>
        <w:pStyle w:val="Normal"/>
        <w:keepNext w:val="true"/>
        <w:keepLines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true"/>
        <w:keepLines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sz w:val="24"/>
          <w:szCs w:val="24"/>
        </w:rPr>
        <w:t>Выполнение работ по изготовлению Изделий включает:</w:t>
      </w:r>
    </w:p>
    <w:p>
      <w:pPr>
        <w:pStyle w:val="Normal"/>
        <w:keepNext w:val="true"/>
        <w:keepLines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прием, осмотр, обмеры Получателя и примерку/подгонку Изделия осуществляют соответствующие специалисты; </w:t>
      </w:r>
    </w:p>
    <w:p>
      <w:pPr>
        <w:pStyle w:val="Normal"/>
        <w:keepNext w:val="true"/>
        <w:keepLine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индивидуальное изготовление Изделия;</w:t>
      </w:r>
    </w:p>
    <w:p>
      <w:pPr>
        <w:pStyle w:val="Normal"/>
        <w:keepNext w:val="true"/>
        <w:keepLine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передачу Изделия Получателю; </w:t>
      </w:r>
    </w:p>
    <w:p>
      <w:pPr>
        <w:pStyle w:val="Normal"/>
        <w:keepNext w:val="true"/>
        <w:keepLines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ремонт или замену Изделия в период гарантийного срока эксплуатации Изделия за счет Подрядчика. Подрядчик должен обеспечить возможность приемки изделия на гарантийный ремонт по фактическому месту проживания Получателя с последующей доставкой Изделия до получателя по указанному адресу с подъемом на этаж;</w:t>
      </w:r>
    </w:p>
    <w:p>
      <w:pPr>
        <w:pStyle w:val="Normal"/>
        <w:keepNext w:val="true"/>
        <w:keepLines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приема, осмотра, снятия мерок, примерки/подгонки и получения Изделия осуществляется по месту проживания Получателя, либо в пунктах приема (г. Смоленск, Смоленская область).</w:t>
      </w:r>
    </w:p>
    <w:p>
      <w:pPr>
        <w:pStyle w:val="Normal"/>
        <w:keepNext w:val="true"/>
        <w:keepLines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true"/>
        <w:keepLines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Требования к гарантийному сроку товаров, выполнению работ, оказанию услуг и (или) объему предоставления гарантий их качества:</w:t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Гарантийный срок - 7 месяцев с даты подписания Получателем Акта приема-передачи изделия Получателю.</w:t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50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6cd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Indent">
    <w:name w:val="Normal Indent"/>
    <w:basedOn w:val="Normal"/>
    <w:qFormat/>
    <w:rsid w:val="00916cd9"/>
    <w:pPr>
      <w:spacing w:lineRule="auto" w:line="360" w:before="0" w:after="0"/>
      <w:ind w:firstLine="624"/>
      <w:jc w:val="both"/>
    </w:pPr>
    <w:rPr>
      <w:rFonts w:ascii="Times New Roman" w:hAnsi="Times New Roman" w:eastAsia="Times New Roman" w:cs="Times New Roman"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57E4-0FED-4ED9-844B-865E1419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LibreOffice/7.3.7.2$Linux_X86_64 LibreOffice_project/e114eadc50a9ff8d8c8a0567d6da8f454beeb84f</Application>
  <AppVersion>15.0000</AppVersion>
  <Pages>4</Pages>
  <Words>1147</Words>
  <Characters>8330</Characters>
  <CharactersWithSpaces>9729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2024-09-16T06:59:00Z</dcterms:created>
  <dc:creator>Усова Екатерина Владимировна</dc:creator>
  <dc:description/>
  <dc:language>ru-RU</dc:language>
  <cp:lastModifiedBy/>
  <dcterms:modified xsi:type="dcterms:W3CDTF">2024-11-01T11:48:33Z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