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03" w:rsidRPr="001925C9" w:rsidRDefault="00C65703" w:rsidP="00AC789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1925C9">
        <w:rPr>
          <w:b/>
          <w:sz w:val="22"/>
          <w:szCs w:val="22"/>
          <w:lang w:bidi="ru-RU"/>
        </w:rPr>
        <w:t>Приложение № 1</w:t>
      </w:r>
    </w:p>
    <w:p w:rsidR="00C65703" w:rsidRPr="001925C9" w:rsidRDefault="009330C1" w:rsidP="00C6570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1925C9">
        <w:rPr>
          <w:b/>
          <w:sz w:val="22"/>
          <w:szCs w:val="22"/>
          <w:lang w:bidi="ru-RU"/>
        </w:rPr>
        <w:t xml:space="preserve">к </w:t>
      </w:r>
      <w:r w:rsidR="00C65703" w:rsidRPr="001925C9">
        <w:rPr>
          <w:b/>
          <w:sz w:val="22"/>
          <w:szCs w:val="22"/>
          <w:lang w:bidi="ru-RU"/>
        </w:rPr>
        <w:t>Извещению о проведении закупки</w:t>
      </w:r>
    </w:p>
    <w:p w:rsidR="009330C1" w:rsidRPr="001925C9" w:rsidRDefault="00AA2D83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  <w:r w:rsidRPr="001925C9">
        <w:rPr>
          <w:b/>
          <w:bCs/>
          <w:sz w:val="22"/>
          <w:szCs w:val="22"/>
        </w:rPr>
        <w:t>Описание объекта закупки</w:t>
      </w:r>
    </w:p>
    <w:p w:rsidR="004B30E1" w:rsidRPr="001925C9" w:rsidRDefault="004B30E1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</w:p>
    <w:p w:rsidR="001925C9" w:rsidRPr="00970A0F" w:rsidRDefault="00941FDC" w:rsidP="00941FDC">
      <w:pPr>
        <w:shd w:val="clear" w:color="auto" w:fill="FFFFFF"/>
        <w:tabs>
          <w:tab w:val="left" w:pos="0"/>
        </w:tabs>
        <w:suppressAutoHyphens w:val="0"/>
        <w:spacing w:line="100" w:lineRule="atLeast"/>
        <w:jc w:val="both"/>
        <w:rPr>
          <w:b/>
          <w:spacing w:val="1"/>
          <w:sz w:val="22"/>
          <w:szCs w:val="22"/>
        </w:rPr>
      </w:pPr>
      <w:r w:rsidRPr="001925C9">
        <w:rPr>
          <w:b/>
          <w:sz w:val="22"/>
          <w:szCs w:val="22"/>
        </w:rPr>
        <w:t>П</w:t>
      </w:r>
      <w:r w:rsidRPr="001925C9">
        <w:rPr>
          <w:b/>
          <w:spacing w:val="1"/>
          <w:sz w:val="22"/>
          <w:szCs w:val="22"/>
        </w:rPr>
        <w:t xml:space="preserve">оставка в 2024 году </w:t>
      </w:r>
      <w:r w:rsidRPr="001925C9">
        <w:rPr>
          <w:b/>
          <w:bCs/>
          <w:spacing w:val="1"/>
          <w:sz w:val="22"/>
          <w:szCs w:val="22"/>
        </w:rPr>
        <w:t>телевизоров с телетекстом</w:t>
      </w:r>
      <w:r w:rsidRPr="001925C9">
        <w:rPr>
          <w:sz w:val="22"/>
          <w:szCs w:val="22"/>
        </w:rPr>
        <w:t xml:space="preserve"> </w:t>
      </w:r>
      <w:r w:rsidRPr="001925C9">
        <w:rPr>
          <w:b/>
          <w:bCs/>
          <w:sz w:val="22"/>
          <w:szCs w:val="22"/>
        </w:rPr>
        <w:t>для приема программ со скрытыми субтитрами с диагональю не менее 80 см.</w:t>
      </w:r>
      <w:r w:rsidRPr="001925C9">
        <w:rPr>
          <w:b/>
          <w:spacing w:val="1"/>
          <w:sz w:val="22"/>
          <w:szCs w:val="22"/>
        </w:rPr>
        <w:t xml:space="preserve">     </w:t>
      </w:r>
    </w:p>
    <w:p w:rsidR="00941FDC" w:rsidRPr="001925C9" w:rsidRDefault="00941FDC" w:rsidP="00941FDC">
      <w:pPr>
        <w:shd w:val="clear" w:color="auto" w:fill="FFFFFF"/>
        <w:tabs>
          <w:tab w:val="left" w:pos="0"/>
        </w:tabs>
        <w:suppressAutoHyphens w:val="0"/>
        <w:spacing w:line="100" w:lineRule="atLeast"/>
        <w:jc w:val="both"/>
        <w:rPr>
          <w:b/>
          <w:color w:val="000000"/>
          <w:spacing w:val="1"/>
          <w:sz w:val="22"/>
          <w:szCs w:val="22"/>
        </w:rPr>
      </w:pPr>
      <w:r w:rsidRPr="001925C9">
        <w:rPr>
          <w:b/>
          <w:color w:val="000000"/>
          <w:spacing w:val="1"/>
          <w:sz w:val="22"/>
          <w:szCs w:val="22"/>
        </w:rPr>
        <w:t xml:space="preserve">Количество </w:t>
      </w:r>
      <w:r w:rsidRPr="001925C9">
        <w:rPr>
          <w:b/>
          <w:spacing w:val="1"/>
          <w:sz w:val="22"/>
          <w:szCs w:val="22"/>
        </w:rPr>
        <w:t>- 287 шт.</w:t>
      </w:r>
    </w:p>
    <w:p w:rsidR="00941FDC" w:rsidRPr="001925C9" w:rsidRDefault="00941FDC" w:rsidP="00941FDC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both"/>
        <w:rPr>
          <w:b/>
          <w:color w:val="000000"/>
          <w:spacing w:val="1"/>
          <w:sz w:val="22"/>
          <w:szCs w:val="22"/>
        </w:rPr>
      </w:pPr>
    </w:p>
    <w:p w:rsidR="00941FDC" w:rsidRPr="001925C9" w:rsidRDefault="00941FDC" w:rsidP="00941FDC">
      <w:pPr>
        <w:suppressAutoHyphens w:val="0"/>
        <w:jc w:val="both"/>
        <w:rPr>
          <w:sz w:val="22"/>
          <w:szCs w:val="22"/>
        </w:rPr>
      </w:pPr>
      <w:r w:rsidRPr="001925C9">
        <w:rPr>
          <w:b/>
          <w:bCs/>
          <w:sz w:val="22"/>
          <w:szCs w:val="22"/>
        </w:rPr>
        <w:t>Описание объекта закупки (функци</w:t>
      </w:r>
      <w:bookmarkStart w:id="0" w:name="_GoBack"/>
      <w:bookmarkEnd w:id="0"/>
      <w:r w:rsidRPr="001925C9">
        <w:rPr>
          <w:b/>
          <w:bCs/>
          <w:sz w:val="22"/>
          <w:szCs w:val="22"/>
        </w:rPr>
        <w:t xml:space="preserve">ональные, технические и качественные характеристики): Телевизор </w:t>
      </w:r>
      <w:r w:rsidRPr="001925C9">
        <w:rPr>
          <w:b/>
          <w:sz w:val="22"/>
          <w:szCs w:val="22"/>
        </w:rPr>
        <w:t>с телетекстом для приема программ со скрытыми субтитрами</w:t>
      </w:r>
      <w:r w:rsidRPr="001925C9">
        <w:rPr>
          <w:sz w:val="22"/>
          <w:szCs w:val="22"/>
        </w:rPr>
        <w:t xml:space="preserve"> предназначен для приема телесигнала, несущего информацию о телевизионном изображении и связанную с ним информацию.</w:t>
      </w:r>
    </w:p>
    <w:p w:rsidR="00941FDC" w:rsidRDefault="00941FDC" w:rsidP="00941FDC">
      <w:pPr>
        <w:suppressAutoHyphens w:val="0"/>
        <w:jc w:val="both"/>
        <w:rPr>
          <w:sz w:val="22"/>
          <w:szCs w:val="22"/>
        </w:rPr>
      </w:pPr>
      <w:r w:rsidRPr="001925C9">
        <w:rPr>
          <w:sz w:val="22"/>
          <w:szCs w:val="22"/>
        </w:rPr>
        <w:t>Материалы, из которых изготавливаются телевизоры, не выделяют токсичных веществ при эксплуатации. На каждом телевизоре нанесен товарный знак, установленный для предприятия-изготовителя и маркировка. Телевизор упакован в индивидуальную упаковку, предохраняющую его от повреждений и загрязнения при транспортировке и хранении. Транспортирование – по ГОСТ 6658-75 любым видом крытого транспорта в соответствии с правилами перевозки грузов, действующими на данном виде транспорта.</w:t>
      </w:r>
    </w:p>
    <w:p w:rsidR="00A3175C" w:rsidRPr="001925C9" w:rsidRDefault="00A3175C" w:rsidP="00941FDC">
      <w:pPr>
        <w:suppressAutoHyphens w:val="0"/>
        <w:jc w:val="both"/>
        <w:rPr>
          <w:sz w:val="22"/>
          <w:szCs w:val="22"/>
        </w:rPr>
      </w:pPr>
    </w:p>
    <w:p w:rsidR="00A3175C" w:rsidRPr="00A3175C" w:rsidRDefault="00A3175C" w:rsidP="00A3175C">
      <w:pPr>
        <w:widowControl/>
        <w:suppressAutoHyphens w:val="0"/>
        <w:ind w:left="360"/>
        <w:jc w:val="both"/>
        <w:rPr>
          <w:b/>
          <w:color w:val="000000" w:themeColor="text1"/>
          <w:sz w:val="22"/>
          <w:szCs w:val="22"/>
        </w:rPr>
      </w:pPr>
      <w:r w:rsidRPr="00A3175C">
        <w:rPr>
          <w:color w:val="000000" w:themeColor="text1"/>
          <w:sz w:val="22"/>
          <w:szCs w:val="22"/>
          <w:u w:val="single"/>
        </w:rPr>
        <w:t>Гарантийный срок</w:t>
      </w:r>
      <w:r w:rsidRPr="00A3175C">
        <w:rPr>
          <w:color w:val="000000" w:themeColor="text1"/>
          <w:sz w:val="22"/>
          <w:szCs w:val="22"/>
        </w:rPr>
        <w:t xml:space="preserve"> - составляет 24 (Двадцать четыре) месяца со дня подписания Получателем акта приема-передачи Товара.</w:t>
      </w:r>
    </w:p>
    <w:p w:rsidR="00941FDC" w:rsidRPr="00A3175C" w:rsidRDefault="00941FDC" w:rsidP="00941FDC">
      <w:pPr>
        <w:widowControl/>
        <w:suppressAutoHyphens w:val="0"/>
        <w:ind w:left="360"/>
        <w:jc w:val="both"/>
        <w:rPr>
          <w:color w:val="000000" w:themeColor="text1"/>
          <w:sz w:val="22"/>
          <w:szCs w:val="22"/>
        </w:rPr>
      </w:pPr>
    </w:p>
    <w:p w:rsidR="00941FDC" w:rsidRPr="001925C9" w:rsidRDefault="00941FDC" w:rsidP="00941FDC">
      <w:pPr>
        <w:widowControl/>
        <w:suppressAutoHyphens w:val="0"/>
        <w:ind w:left="360"/>
        <w:jc w:val="both"/>
        <w:rPr>
          <w:b/>
          <w:sz w:val="22"/>
          <w:szCs w:val="22"/>
        </w:rPr>
      </w:pPr>
      <w:r w:rsidRPr="001925C9">
        <w:rPr>
          <w:b/>
          <w:sz w:val="22"/>
          <w:szCs w:val="22"/>
        </w:rPr>
        <w:t>Показатели, позволяющие определить соответствие закупаемого товара требованиям заказчика:</w:t>
      </w:r>
    </w:p>
    <w:tbl>
      <w:tblPr>
        <w:tblW w:w="15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289"/>
        <w:gridCol w:w="2126"/>
        <w:gridCol w:w="1925"/>
        <w:gridCol w:w="2061"/>
        <w:gridCol w:w="3807"/>
        <w:gridCol w:w="2345"/>
        <w:gridCol w:w="16"/>
        <w:gridCol w:w="1095"/>
        <w:gridCol w:w="21"/>
      </w:tblGrid>
      <w:tr w:rsidR="00941FDC" w:rsidRPr="001925C9" w:rsidTr="004551D0">
        <w:trPr>
          <w:trHeight w:val="278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  <w:r w:rsidRPr="001925C9">
              <w:rPr>
                <w:b/>
                <w:sz w:val="22"/>
                <w:szCs w:val="22"/>
              </w:rPr>
              <w:lastRenderedPageBreak/>
              <w:br w:type="page"/>
            </w:r>
            <w:r w:rsidRPr="001925C9">
              <w:rPr>
                <w:sz w:val="22"/>
                <w:szCs w:val="22"/>
              </w:rPr>
              <w:t>№ п/п</w:t>
            </w:r>
          </w:p>
        </w:tc>
        <w:tc>
          <w:tcPr>
            <w:tcW w:w="13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</w:pPr>
            <w:r w:rsidRPr="001925C9">
              <w:rPr>
                <w:sz w:val="22"/>
                <w:szCs w:val="22"/>
              </w:rPr>
              <w:t xml:space="preserve">Наименование товара, описание, требования к качеству, техническим, функциональным характеристикам, </w:t>
            </w:r>
          </w:p>
          <w:p w:rsidR="00941FDC" w:rsidRPr="001925C9" w:rsidRDefault="00941FDC" w:rsidP="004551D0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</w:pPr>
            <w:r w:rsidRPr="001925C9">
              <w:rPr>
                <w:sz w:val="22"/>
                <w:szCs w:val="22"/>
              </w:rPr>
              <w:t>а также сроку годности Товара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jc w:val="center"/>
            </w:pPr>
            <w:r w:rsidRPr="001925C9">
              <w:rPr>
                <w:sz w:val="22"/>
                <w:szCs w:val="22"/>
              </w:rPr>
              <w:t>Кол-во</w:t>
            </w:r>
          </w:p>
          <w:p w:rsidR="00941FDC" w:rsidRPr="001925C9" w:rsidRDefault="00941FDC" w:rsidP="004551D0">
            <w:pPr>
              <w:keepNext/>
              <w:keepLines/>
              <w:jc w:val="center"/>
            </w:pPr>
            <w:r w:rsidRPr="001925C9">
              <w:rPr>
                <w:sz w:val="22"/>
                <w:szCs w:val="22"/>
              </w:rPr>
              <w:t>(шт.)</w:t>
            </w:r>
          </w:p>
        </w:tc>
      </w:tr>
      <w:tr w:rsidR="00941FDC" w:rsidRPr="001925C9" w:rsidTr="004551D0">
        <w:trPr>
          <w:gridAfter w:val="1"/>
          <w:wAfter w:w="16" w:type="dxa"/>
          <w:trHeight w:val="278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jc w:val="center"/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jc w:val="center"/>
            </w:pPr>
            <w:r w:rsidRPr="001925C9">
              <w:rPr>
                <w:sz w:val="22"/>
                <w:szCs w:val="22"/>
              </w:rPr>
              <w:t>Номер вида ТСР (изделий)*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tabs>
                <w:tab w:val="left" w:pos="3045"/>
              </w:tabs>
              <w:ind w:left="34"/>
              <w:jc w:val="center"/>
            </w:pPr>
            <w:r w:rsidRPr="001925C9">
              <w:rPr>
                <w:sz w:val="22"/>
                <w:szCs w:val="22"/>
              </w:rPr>
              <w:t>Наименование и код позиции ОКПД2/КТРУ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jc w:val="center"/>
            </w:pPr>
            <w:r w:rsidRPr="001925C9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</w:pPr>
            <w:r w:rsidRPr="001925C9">
              <w:rPr>
                <w:sz w:val="22"/>
                <w:szCs w:val="22"/>
              </w:rPr>
              <w:t>Функциональные, технические и качественные характеристики объекта закупки</w:t>
            </w:r>
          </w:p>
          <w:p w:rsidR="00941FDC" w:rsidRPr="001925C9" w:rsidRDefault="00941FDC" w:rsidP="004551D0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</w:pPr>
          </w:p>
        </w:tc>
        <w:tc>
          <w:tcPr>
            <w:tcW w:w="1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jc w:val="center"/>
            </w:pPr>
          </w:p>
        </w:tc>
      </w:tr>
      <w:tr w:rsidR="00941FDC" w:rsidRPr="001925C9" w:rsidTr="004551D0">
        <w:trPr>
          <w:gridAfter w:val="1"/>
          <w:wAfter w:w="21" w:type="dxa"/>
          <w:trHeight w:val="2469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jc w:val="center"/>
            </w:pPr>
          </w:p>
        </w:tc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jc w:val="center"/>
            </w:pPr>
          </w:p>
        </w:tc>
        <w:tc>
          <w:tcPr>
            <w:tcW w:w="1926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jc w:val="center"/>
            </w:pPr>
          </w:p>
        </w:tc>
        <w:tc>
          <w:tcPr>
            <w:tcW w:w="2062" w:type="dxa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jc w:val="center"/>
            </w:pPr>
            <w:r w:rsidRPr="001925C9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08" w:type="dxa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jc w:val="center"/>
            </w:pPr>
            <w:r w:rsidRPr="001925C9">
              <w:rPr>
                <w:sz w:val="22"/>
                <w:szCs w:val="22"/>
              </w:rPr>
              <w:t>Значения, которые не могут изменяться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jc w:val="center"/>
            </w:pPr>
            <w:r w:rsidRPr="001925C9">
              <w:rPr>
                <w:sz w:val="22"/>
                <w:szCs w:val="22"/>
              </w:rPr>
              <w:t>Минимальные и (или) максимальные значения объекта закупки, изменяемые значения объекта закупки (точное значение устанавливает участник закупки)</w:t>
            </w:r>
          </w:p>
        </w:tc>
        <w:tc>
          <w:tcPr>
            <w:tcW w:w="1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jc w:val="center"/>
            </w:pPr>
          </w:p>
        </w:tc>
      </w:tr>
      <w:tr w:rsidR="00941FDC" w:rsidRPr="001925C9" w:rsidTr="004551D0">
        <w:trPr>
          <w:gridAfter w:val="1"/>
          <w:wAfter w:w="21" w:type="dxa"/>
          <w:trHeight w:val="315"/>
        </w:trPr>
        <w:tc>
          <w:tcPr>
            <w:tcW w:w="412" w:type="dxa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jc w:val="center"/>
            </w:pPr>
            <w:r w:rsidRPr="001925C9">
              <w:rPr>
                <w:sz w:val="22"/>
                <w:szCs w:val="22"/>
              </w:rPr>
              <w:t>1</w:t>
            </w:r>
          </w:p>
        </w:tc>
        <w:tc>
          <w:tcPr>
            <w:tcW w:w="1289" w:type="dxa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1925C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1925C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26" w:type="dxa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1925C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062" w:type="dxa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1925C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808" w:type="dxa"/>
            <w:tcBorders>
              <w:bottom w:val="single" w:sz="4" w:space="0" w:color="auto"/>
            </w:tcBorders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1925C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1925C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11" w:type="dxa"/>
            <w:gridSpan w:val="2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1925C9">
              <w:rPr>
                <w:sz w:val="22"/>
                <w:szCs w:val="22"/>
                <w:lang w:val="en-US"/>
              </w:rPr>
              <w:t>8</w:t>
            </w:r>
          </w:p>
        </w:tc>
      </w:tr>
      <w:tr w:rsidR="00941FDC" w:rsidRPr="001925C9" w:rsidTr="004551D0">
        <w:trPr>
          <w:gridAfter w:val="1"/>
          <w:wAfter w:w="21" w:type="dxa"/>
          <w:trHeight w:val="85"/>
        </w:trPr>
        <w:tc>
          <w:tcPr>
            <w:tcW w:w="412" w:type="dxa"/>
            <w:vMerge w:val="restart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jc w:val="center"/>
            </w:pPr>
            <w:r w:rsidRPr="001925C9">
              <w:rPr>
                <w:sz w:val="22"/>
                <w:szCs w:val="22"/>
              </w:rPr>
              <w:t>1</w:t>
            </w:r>
          </w:p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1289" w:type="dxa"/>
            <w:vMerge w:val="restart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jc w:val="center"/>
              <w:rPr>
                <w:b/>
                <w:bCs/>
              </w:rPr>
            </w:pPr>
            <w:r w:rsidRPr="001925C9">
              <w:rPr>
                <w:b/>
                <w:bCs/>
                <w:sz w:val="22"/>
                <w:szCs w:val="22"/>
              </w:rPr>
              <w:t>18-01-01</w:t>
            </w:r>
          </w:p>
          <w:p w:rsidR="00941FDC" w:rsidRPr="001925C9" w:rsidRDefault="00941FDC" w:rsidP="004551D0">
            <w:pPr>
              <w:keepNext/>
              <w:keepLines/>
              <w:widowControl/>
              <w:jc w:val="center"/>
              <w:rPr>
                <w:rFonts w:eastAsia="Times New Roman"/>
                <w:bCs/>
                <w:lang w:eastAsia="ru-RU"/>
              </w:rPr>
            </w:pPr>
          </w:p>
          <w:p w:rsidR="00941FDC" w:rsidRPr="001925C9" w:rsidRDefault="00941FDC" w:rsidP="004551D0">
            <w:pPr>
              <w:keepNext/>
              <w:keepLines/>
              <w:widowControl/>
              <w:jc w:val="center"/>
              <w:rPr>
                <w:rFonts w:eastAsia="Times New Roman"/>
                <w:bCs/>
                <w:lang w:eastAsia="ru-RU"/>
              </w:rPr>
            </w:pPr>
            <w:r w:rsidRPr="001925C9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КОЗ </w:t>
            </w:r>
            <w:r w:rsidRPr="001925C9">
              <w:rPr>
                <w:bCs/>
                <w:sz w:val="22"/>
                <w:szCs w:val="22"/>
              </w:rPr>
              <w:t>01.28.18.01.01.02</w:t>
            </w:r>
          </w:p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941FDC" w:rsidRPr="001925C9" w:rsidRDefault="00941FDC" w:rsidP="004551D0">
            <w:pPr>
              <w:suppressAutoHyphens w:val="0"/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1925C9">
              <w:rPr>
                <w:sz w:val="22"/>
                <w:szCs w:val="22"/>
              </w:rPr>
              <w:t xml:space="preserve">26.40.20.122- </w:t>
            </w:r>
            <w:r w:rsidRPr="001925C9">
              <w:rPr>
                <w:sz w:val="22"/>
                <w:szCs w:val="22"/>
                <w:shd w:val="clear" w:color="auto" w:fill="FFFFFF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  <w:r w:rsidRPr="001925C9">
              <w:rPr>
                <w:sz w:val="22"/>
                <w:szCs w:val="22"/>
              </w:rPr>
              <w:t xml:space="preserve"> /26.40.20.122-00000007- </w:t>
            </w:r>
            <w:r w:rsidRPr="001925C9">
              <w:rPr>
                <w:sz w:val="22"/>
                <w:szCs w:val="22"/>
                <w:shd w:val="clear" w:color="auto" w:fill="FFFFFF"/>
              </w:rPr>
              <w:t>Телевизор с телетекстом для приема программ со скрытыми субтитрами с диагональю не менее 80 см</w:t>
            </w:r>
          </w:p>
          <w:p w:rsidR="00941FDC" w:rsidRPr="001925C9" w:rsidRDefault="00941FDC" w:rsidP="004551D0">
            <w:pPr>
              <w:keepNext/>
              <w:keepLines/>
              <w:widowControl/>
              <w:jc w:val="center"/>
            </w:pPr>
          </w:p>
        </w:tc>
        <w:tc>
          <w:tcPr>
            <w:tcW w:w="1926" w:type="dxa"/>
            <w:vMerge w:val="restart"/>
            <w:shd w:val="clear" w:color="auto" w:fill="auto"/>
          </w:tcPr>
          <w:p w:rsidR="00941FDC" w:rsidRPr="001925C9" w:rsidRDefault="00941FDC" w:rsidP="004551D0">
            <w:pPr>
              <w:suppressAutoHyphens w:val="0"/>
              <w:snapToGrid w:val="0"/>
              <w:jc w:val="both"/>
            </w:pPr>
            <w:r w:rsidRPr="001925C9">
              <w:rPr>
                <w:bCs/>
                <w:spacing w:val="1"/>
                <w:sz w:val="22"/>
                <w:szCs w:val="22"/>
              </w:rPr>
              <w:t>Т</w:t>
            </w:r>
            <w:r w:rsidRPr="001925C9">
              <w:rPr>
                <w:bCs/>
                <w:sz w:val="22"/>
                <w:szCs w:val="22"/>
              </w:rPr>
              <w:t xml:space="preserve">елевизор </w:t>
            </w:r>
            <w:proofErr w:type="spellStart"/>
            <w:proofErr w:type="gramStart"/>
            <w:r w:rsidRPr="001925C9">
              <w:rPr>
                <w:bCs/>
                <w:sz w:val="22"/>
                <w:szCs w:val="22"/>
              </w:rPr>
              <w:t>жидкокристал-лический</w:t>
            </w:r>
            <w:proofErr w:type="spellEnd"/>
            <w:proofErr w:type="gramEnd"/>
            <w:r w:rsidRPr="001925C9">
              <w:rPr>
                <w:sz w:val="22"/>
                <w:szCs w:val="22"/>
              </w:rPr>
              <w:t>.</w:t>
            </w:r>
          </w:p>
          <w:p w:rsidR="00941FDC" w:rsidRPr="001925C9" w:rsidRDefault="00941FDC" w:rsidP="004551D0">
            <w:pPr>
              <w:keepNext/>
              <w:keepLines/>
              <w:widowControl/>
              <w:spacing w:line="360" w:lineRule="auto"/>
              <w:jc w:val="center"/>
            </w:pPr>
          </w:p>
        </w:tc>
        <w:tc>
          <w:tcPr>
            <w:tcW w:w="2062" w:type="dxa"/>
            <w:vMerge w:val="restart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tabs>
                <w:tab w:val="left" w:pos="317"/>
              </w:tabs>
            </w:pPr>
            <w:r w:rsidRPr="001925C9">
              <w:rPr>
                <w:sz w:val="22"/>
                <w:szCs w:val="22"/>
              </w:rPr>
              <w:t>Описание телевизора</w:t>
            </w:r>
          </w:p>
          <w:p w:rsidR="00941FDC" w:rsidRPr="001925C9" w:rsidRDefault="00941FDC" w:rsidP="004551D0">
            <w:pPr>
              <w:keepNext/>
              <w:keepLines/>
              <w:tabs>
                <w:tab w:val="left" w:pos="708"/>
              </w:tabs>
            </w:pPr>
          </w:p>
        </w:tc>
        <w:tc>
          <w:tcPr>
            <w:tcW w:w="3808" w:type="dxa"/>
            <w:tcBorders>
              <w:bottom w:val="nil"/>
            </w:tcBorders>
            <w:shd w:val="clear" w:color="auto" w:fill="auto"/>
          </w:tcPr>
          <w:p w:rsidR="00941FDC" w:rsidRPr="001925C9" w:rsidRDefault="00941FDC" w:rsidP="004551D0">
            <w:pPr>
              <w:keepLines/>
              <w:widowControl/>
              <w:suppressAutoHyphens w:val="0"/>
              <w:snapToGrid w:val="0"/>
              <w:rPr>
                <w:bCs/>
              </w:rPr>
            </w:pPr>
          </w:p>
        </w:tc>
        <w:tc>
          <w:tcPr>
            <w:tcW w:w="2341" w:type="dxa"/>
            <w:tcBorders>
              <w:bottom w:val="nil"/>
            </w:tcBorders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</w:pPr>
          </w:p>
        </w:tc>
        <w:tc>
          <w:tcPr>
            <w:tcW w:w="1111" w:type="dxa"/>
            <w:gridSpan w:val="2"/>
            <w:vMerge w:val="restart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</w:pPr>
          </w:p>
          <w:p w:rsidR="00941FDC" w:rsidRPr="001925C9" w:rsidRDefault="00941FDC" w:rsidP="004551D0">
            <w:pPr>
              <w:keepNext/>
              <w:keepLines/>
              <w:widowControl/>
              <w:jc w:val="center"/>
              <w:rPr>
                <w:b/>
              </w:rPr>
            </w:pPr>
            <w:r w:rsidRPr="001925C9">
              <w:rPr>
                <w:b/>
                <w:sz w:val="22"/>
                <w:szCs w:val="22"/>
              </w:rPr>
              <w:t>287</w:t>
            </w:r>
          </w:p>
          <w:p w:rsidR="00941FDC" w:rsidRPr="001925C9" w:rsidRDefault="00941FDC" w:rsidP="004551D0">
            <w:pPr>
              <w:keepNext/>
              <w:keepLines/>
              <w:widowControl/>
              <w:jc w:val="center"/>
              <w:rPr>
                <w:lang w:val="en-US"/>
              </w:rPr>
            </w:pPr>
          </w:p>
        </w:tc>
      </w:tr>
      <w:tr w:rsidR="00941FDC" w:rsidRPr="001925C9" w:rsidTr="004551D0">
        <w:trPr>
          <w:gridAfter w:val="1"/>
          <w:wAfter w:w="21" w:type="dxa"/>
          <w:trHeight w:val="183"/>
        </w:trPr>
        <w:tc>
          <w:tcPr>
            <w:tcW w:w="412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1926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2062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3808" w:type="dxa"/>
            <w:tcBorders>
              <w:top w:val="nil"/>
            </w:tcBorders>
            <w:shd w:val="clear" w:color="auto" w:fill="auto"/>
          </w:tcPr>
          <w:p w:rsidR="00941FDC" w:rsidRPr="001925C9" w:rsidRDefault="00941FDC" w:rsidP="004551D0">
            <w:pPr>
              <w:suppressAutoHyphens w:val="0"/>
            </w:pPr>
            <w:r w:rsidRPr="001925C9">
              <w:rPr>
                <w:bCs/>
                <w:spacing w:val="1"/>
                <w:sz w:val="22"/>
                <w:szCs w:val="22"/>
              </w:rPr>
              <w:t>Т</w:t>
            </w:r>
            <w:r w:rsidRPr="001925C9">
              <w:rPr>
                <w:bCs/>
                <w:sz w:val="22"/>
                <w:szCs w:val="22"/>
              </w:rPr>
              <w:t>елевизор жидкокристаллический</w:t>
            </w:r>
            <w:r w:rsidRPr="001925C9">
              <w:rPr>
                <w:sz w:val="22"/>
                <w:szCs w:val="22"/>
              </w:rPr>
              <w:t xml:space="preserve"> с телетекстом обеспечивает беспрепятственный доступ инвалидов с нарушениями слуха к информации в виде субтитров, передаваемых на странице 888-й и 889-й системы «Телетекст» (в соответствии с пунктом 4.9.6 ГОСТ Р 50861-96 «Система телетекст. </w:t>
            </w:r>
          </w:p>
          <w:p w:rsidR="00941FDC" w:rsidRPr="001925C9" w:rsidRDefault="00941FDC" w:rsidP="004551D0">
            <w:pPr>
              <w:suppressAutoHyphens w:val="0"/>
            </w:pPr>
            <w:r w:rsidRPr="001925C9">
              <w:rPr>
                <w:sz w:val="22"/>
                <w:szCs w:val="22"/>
              </w:rPr>
              <w:t>Формат экрана 16:9.</w:t>
            </w:r>
          </w:p>
          <w:p w:rsidR="00941FDC" w:rsidRPr="001925C9" w:rsidRDefault="00941FDC" w:rsidP="004551D0">
            <w:pPr>
              <w:suppressAutoHyphens w:val="0"/>
            </w:pPr>
            <w:r w:rsidRPr="001925C9">
              <w:rPr>
                <w:sz w:val="22"/>
                <w:szCs w:val="22"/>
              </w:rPr>
              <w:t xml:space="preserve">Поддержка стандартов </w:t>
            </w:r>
            <w:r w:rsidRPr="001925C9">
              <w:rPr>
                <w:sz w:val="22"/>
                <w:szCs w:val="22"/>
                <w:lang w:val="en-US"/>
              </w:rPr>
              <w:t>DVB</w:t>
            </w:r>
            <w:r w:rsidRPr="001925C9">
              <w:rPr>
                <w:sz w:val="22"/>
                <w:szCs w:val="22"/>
              </w:rPr>
              <w:t>-</w:t>
            </w:r>
            <w:r w:rsidRPr="001925C9">
              <w:rPr>
                <w:sz w:val="22"/>
                <w:szCs w:val="22"/>
                <w:lang w:val="en-US"/>
              </w:rPr>
              <w:t>T</w:t>
            </w:r>
            <w:r w:rsidRPr="001925C9">
              <w:rPr>
                <w:sz w:val="22"/>
                <w:szCs w:val="22"/>
              </w:rPr>
              <w:t xml:space="preserve">2, </w:t>
            </w:r>
            <w:r w:rsidRPr="001925C9">
              <w:rPr>
                <w:sz w:val="22"/>
                <w:szCs w:val="22"/>
                <w:lang w:val="en-US"/>
              </w:rPr>
              <w:t>DVB</w:t>
            </w:r>
            <w:r w:rsidRPr="001925C9">
              <w:rPr>
                <w:sz w:val="22"/>
                <w:szCs w:val="22"/>
              </w:rPr>
              <w:t>-</w:t>
            </w:r>
            <w:r w:rsidRPr="001925C9">
              <w:rPr>
                <w:sz w:val="22"/>
                <w:szCs w:val="22"/>
                <w:lang w:val="en-US"/>
              </w:rPr>
              <w:t>C</w:t>
            </w:r>
            <w:r w:rsidRPr="001925C9">
              <w:rPr>
                <w:sz w:val="22"/>
                <w:szCs w:val="22"/>
              </w:rPr>
              <w:t>.</w:t>
            </w:r>
          </w:p>
          <w:p w:rsidR="00941FDC" w:rsidRPr="001925C9" w:rsidRDefault="00941FDC" w:rsidP="004551D0">
            <w:pPr>
              <w:suppressAutoHyphens w:val="0"/>
            </w:pPr>
            <w:r w:rsidRPr="001925C9">
              <w:rPr>
                <w:sz w:val="22"/>
                <w:szCs w:val="22"/>
              </w:rPr>
              <w:t>Наличие разъемов для наушников.</w:t>
            </w:r>
          </w:p>
          <w:p w:rsidR="00941FDC" w:rsidRPr="001925C9" w:rsidRDefault="00941FDC" w:rsidP="004551D0">
            <w:pPr>
              <w:suppressAutoHyphens w:val="0"/>
            </w:pPr>
            <w:r w:rsidRPr="001925C9">
              <w:rPr>
                <w:sz w:val="22"/>
                <w:szCs w:val="22"/>
              </w:rPr>
              <w:t>Меню на русском языке.</w:t>
            </w:r>
          </w:p>
        </w:tc>
        <w:tc>
          <w:tcPr>
            <w:tcW w:w="2341" w:type="dxa"/>
            <w:tcBorders>
              <w:top w:val="nil"/>
            </w:tcBorders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suppressAutoHyphens w:val="0"/>
            </w:pP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</w:tr>
      <w:tr w:rsidR="00941FDC" w:rsidRPr="001925C9" w:rsidTr="004551D0">
        <w:trPr>
          <w:gridAfter w:val="1"/>
          <w:wAfter w:w="21" w:type="dxa"/>
          <w:trHeight w:val="183"/>
        </w:trPr>
        <w:tc>
          <w:tcPr>
            <w:tcW w:w="412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1926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2062" w:type="dxa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tabs>
                <w:tab w:val="left" w:pos="708"/>
              </w:tabs>
            </w:pPr>
          </w:p>
          <w:p w:rsidR="00941FDC" w:rsidRPr="001925C9" w:rsidRDefault="00941FDC" w:rsidP="004551D0">
            <w:pPr>
              <w:keepNext/>
              <w:keepLines/>
              <w:widowControl/>
              <w:tabs>
                <w:tab w:val="left" w:pos="708"/>
              </w:tabs>
            </w:pPr>
            <w:r w:rsidRPr="001925C9">
              <w:rPr>
                <w:sz w:val="22"/>
                <w:szCs w:val="22"/>
              </w:rPr>
              <w:t>Комплект поставки</w:t>
            </w:r>
          </w:p>
          <w:p w:rsidR="00941FDC" w:rsidRPr="001925C9" w:rsidRDefault="00941FDC" w:rsidP="004551D0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3808" w:type="dxa"/>
            <w:shd w:val="clear" w:color="auto" w:fill="auto"/>
          </w:tcPr>
          <w:p w:rsidR="00941FDC" w:rsidRPr="001925C9" w:rsidRDefault="00941FDC" w:rsidP="004551D0">
            <w:pPr>
              <w:suppressAutoHyphens w:val="0"/>
            </w:pPr>
            <w:r w:rsidRPr="001925C9">
              <w:rPr>
                <w:sz w:val="22"/>
                <w:szCs w:val="22"/>
              </w:rPr>
              <w:t xml:space="preserve">Телевизор с телетекстом укомплектован пультом дистанционного управления и инструкцией по эксплуатации на русском языке. </w:t>
            </w:r>
          </w:p>
        </w:tc>
        <w:tc>
          <w:tcPr>
            <w:tcW w:w="2341" w:type="dxa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suppressAutoHyphens w:val="0"/>
            </w:pPr>
          </w:p>
        </w:tc>
        <w:tc>
          <w:tcPr>
            <w:tcW w:w="1111" w:type="dxa"/>
            <w:gridSpan w:val="2"/>
            <w:vMerge w:val="restart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</w:tr>
      <w:tr w:rsidR="00941FDC" w:rsidRPr="001925C9" w:rsidTr="004551D0">
        <w:trPr>
          <w:gridAfter w:val="1"/>
          <w:wAfter w:w="21" w:type="dxa"/>
          <w:trHeight w:val="183"/>
        </w:trPr>
        <w:tc>
          <w:tcPr>
            <w:tcW w:w="412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1926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2062" w:type="dxa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</w:rPr>
            </w:pPr>
            <w:r w:rsidRPr="001925C9">
              <w:rPr>
                <w:sz w:val="22"/>
                <w:szCs w:val="22"/>
              </w:rPr>
              <w:t>Диагональ телевизора</w:t>
            </w:r>
          </w:p>
        </w:tc>
        <w:tc>
          <w:tcPr>
            <w:tcW w:w="3808" w:type="dxa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jc w:val="both"/>
              <w:rPr>
                <w:bCs/>
                <w:color w:val="FF0000"/>
              </w:rPr>
            </w:pPr>
          </w:p>
        </w:tc>
        <w:tc>
          <w:tcPr>
            <w:tcW w:w="2341" w:type="dxa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suppressAutoHyphens w:val="0"/>
            </w:pPr>
            <w:r w:rsidRPr="001925C9">
              <w:rPr>
                <w:sz w:val="22"/>
                <w:szCs w:val="22"/>
              </w:rPr>
              <w:t>≥80см (≥32 дюйма).</w:t>
            </w: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</w:tr>
      <w:tr w:rsidR="00941FDC" w:rsidRPr="001925C9" w:rsidTr="004551D0">
        <w:trPr>
          <w:gridAfter w:val="1"/>
          <w:wAfter w:w="21" w:type="dxa"/>
          <w:trHeight w:val="183"/>
        </w:trPr>
        <w:tc>
          <w:tcPr>
            <w:tcW w:w="412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1926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2062" w:type="dxa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</w:rPr>
            </w:pPr>
            <w:r w:rsidRPr="001925C9">
              <w:rPr>
                <w:sz w:val="22"/>
                <w:szCs w:val="22"/>
              </w:rPr>
              <w:t>Частота обновления</w:t>
            </w:r>
          </w:p>
        </w:tc>
        <w:tc>
          <w:tcPr>
            <w:tcW w:w="3808" w:type="dxa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jc w:val="both"/>
              <w:rPr>
                <w:bCs/>
                <w:color w:val="FF0000"/>
              </w:rPr>
            </w:pPr>
          </w:p>
        </w:tc>
        <w:tc>
          <w:tcPr>
            <w:tcW w:w="2341" w:type="dxa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suppressAutoHyphens w:val="0"/>
            </w:pPr>
            <w:r w:rsidRPr="001925C9">
              <w:rPr>
                <w:sz w:val="22"/>
                <w:szCs w:val="22"/>
              </w:rPr>
              <w:t>≥50 ГЦ</w:t>
            </w: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</w:tr>
      <w:tr w:rsidR="00941FDC" w:rsidRPr="001925C9" w:rsidTr="004551D0">
        <w:trPr>
          <w:gridAfter w:val="1"/>
          <w:wAfter w:w="21" w:type="dxa"/>
          <w:trHeight w:val="183"/>
        </w:trPr>
        <w:tc>
          <w:tcPr>
            <w:tcW w:w="412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1926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2062" w:type="dxa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</w:rPr>
            </w:pPr>
            <w:r w:rsidRPr="001925C9">
              <w:rPr>
                <w:sz w:val="22"/>
                <w:szCs w:val="22"/>
              </w:rPr>
              <w:t>Класс энергетической эффективности</w:t>
            </w:r>
          </w:p>
        </w:tc>
        <w:tc>
          <w:tcPr>
            <w:tcW w:w="3808" w:type="dxa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jc w:val="both"/>
              <w:rPr>
                <w:bCs/>
                <w:color w:val="FF0000"/>
              </w:rPr>
            </w:pPr>
          </w:p>
        </w:tc>
        <w:tc>
          <w:tcPr>
            <w:tcW w:w="2341" w:type="dxa"/>
            <w:shd w:val="clear" w:color="auto" w:fill="auto"/>
          </w:tcPr>
          <w:p w:rsidR="00941FDC" w:rsidRPr="001925C9" w:rsidRDefault="00941FDC" w:rsidP="004551D0">
            <w:pPr>
              <w:suppressAutoHyphens w:val="0"/>
              <w:jc w:val="both"/>
            </w:pPr>
            <w:r w:rsidRPr="001925C9">
              <w:rPr>
                <w:sz w:val="22"/>
                <w:szCs w:val="22"/>
              </w:rPr>
              <w:t>«А» и выше</w:t>
            </w:r>
          </w:p>
          <w:p w:rsidR="00941FDC" w:rsidRPr="001925C9" w:rsidRDefault="00941FDC" w:rsidP="004551D0">
            <w:pPr>
              <w:keepNext/>
              <w:keepLines/>
              <w:widowControl/>
              <w:suppressAutoHyphens w:val="0"/>
            </w:pP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</w:tr>
      <w:tr w:rsidR="00941FDC" w:rsidRPr="001925C9" w:rsidTr="004551D0">
        <w:trPr>
          <w:gridAfter w:val="1"/>
          <w:wAfter w:w="21" w:type="dxa"/>
          <w:trHeight w:val="183"/>
        </w:trPr>
        <w:tc>
          <w:tcPr>
            <w:tcW w:w="412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1926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2062" w:type="dxa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</w:rPr>
            </w:pPr>
            <w:r w:rsidRPr="001925C9">
              <w:rPr>
                <w:sz w:val="22"/>
                <w:szCs w:val="22"/>
              </w:rPr>
              <w:t>Количество принимаемых каналов</w:t>
            </w:r>
          </w:p>
        </w:tc>
        <w:tc>
          <w:tcPr>
            <w:tcW w:w="3808" w:type="dxa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jc w:val="both"/>
              <w:rPr>
                <w:bCs/>
                <w:color w:val="FF0000"/>
              </w:rPr>
            </w:pPr>
          </w:p>
        </w:tc>
        <w:tc>
          <w:tcPr>
            <w:tcW w:w="2341" w:type="dxa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suppressAutoHyphens w:val="0"/>
            </w:pPr>
            <w:r w:rsidRPr="001925C9">
              <w:rPr>
                <w:sz w:val="22"/>
                <w:szCs w:val="22"/>
              </w:rPr>
              <w:t>≥30</w:t>
            </w: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</w:tr>
      <w:tr w:rsidR="00941FDC" w:rsidRPr="001925C9" w:rsidTr="004551D0">
        <w:trPr>
          <w:gridAfter w:val="1"/>
          <w:wAfter w:w="21" w:type="dxa"/>
          <w:trHeight w:val="183"/>
        </w:trPr>
        <w:tc>
          <w:tcPr>
            <w:tcW w:w="412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1926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2062" w:type="dxa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</w:rPr>
            </w:pPr>
            <w:r w:rsidRPr="001925C9">
              <w:rPr>
                <w:sz w:val="22"/>
                <w:szCs w:val="22"/>
              </w:rPr>
              <w:t>Мощность звука</w:t>
            </w:r>
          </w:p>
        </w:tc>
        <w:tc>
          <w:tcPr>
            <w:tcW w:w="3808" w:type="dxa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jc w:val="both"/>
              <w:rPr>
                <w:bCs/>
                <w:color w:val="FF0000"/>
              </w:rPr>
            </w:pPr>
          </w:p>
        </w:tc>
        <w:tc>
          <w:tcPr>
            <w:tcW w:w="2341" w:type="dxa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suppressAutoHyphens w:val="0"/>
            </w:pPr>
            <w:r w:rsidRPr="001925C9">
              <w:rPr>
                <w:sz w:val="22"/>
                <w:szCs w:val="22"/>
              </w:rPr>
              <w:t>≥2 Вт</w:t>
            </w: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</w:tr>
      <w:tr w:rsidR="00941FDC" w:rsidRPr="001925C9" w:rsidTr="004551D0">
        <w:trPr>
          <w:gridAfter w:val="1"/>
          <w:wAfter w:w="21" w:type="dxa"/>
          <w:trHeight w:val="183"/>
        </w:trPr>
        <w:tc>
          <w:tcPr>
            <w:tcW w:w="412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1926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2062" w:type="dxa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</w:rPr>
            </w:pPr>
            <w:r w:rsidRPr="001925C9">
              <w:rPr>
                <w:sz w:val="22"/>
                <w:szCs w:val="22"/>
              </w:rPr>
              <w:t>Акустическая система</w:t>
            </w:r>
          </w:p>
        </w:tc>
        <w:tc>
          <w:tcPr>
            <w:tcW w:w="3808" w:type="dxa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jc w:val="both"/>
              <w:rPr>
                <w:bCs/>
                <w:color w:val="FF0000"/>
              </w:rPr>
            </w:pPr>
          </w:p>
        </w:tc>
        <w:tc>
          <w:tcPr>
            <w:tcW w:w="2341" w:type="dxa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suppressAutoHyphens w:val="0"/>
            </w:pPr>
            <w:r w:rsidRPr="001925C9">
              <w:rPr>
                <w:sz w:val="22"/>
                <w:szCs w:val="22"/>
              </w:rPr>
              <w:t>≥1 динамик</w:t>
            </w: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</w:tr>
      <w:tr w:rsidR="00941FDC" w:rsidRPr="001925C9" w:rsidTr="004551D0">
        <w:trPr>
          <w:gridAfter w:val="1"/>
          <w:wAfter w:w="21" w:type="dxa"/>
          <w:trHeight w:val="183"/>
        </w:trPr>
        <w:tc>
          <w:tcPr>
            <w:tcW w:w="412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1926" w:type="dxa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  <w:tc>
          <w:tcPr>
            <w:tcW w:w="2062" w:type="dxa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</w:rPr>
            </w:pPr>
            <w:r w:rsidRPr="001925C9">
              <w:rPr>
                <w:sz w:val="22"/>
                <w:szCs w:val="22"/>
              </w:rPr>
              <w:t>Телетекст с памятью</w:t>
            </w:r>
          </w:p>
        </w:tc>
        <w:tc>
          <w:tcPr>
            <w:tcW w:w="3808" w:type="dxa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jc w:val="both"/>
              <w:rPr>
                <w:bCs/>
                <w:color w:val="FF0000"/>
              </w:rPr>
            </w:pPr>
          </w:p>
        </w:tc>
        <w:tc>
          <w:tcPr>
            <w:tcW w:w="2341" w:type="dxa"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widowControl/>
              <w:suppressAutoHyphens w:val="0"/>
            </w:pPr>
            <w:r w:rsidRPr="001925C9">
              <w:rPr>
                <w:sz w:val="22"/>
                <w:szCs w:val="22"/>
              </w:rPr>
              <w:t>≥10 страниц</w:t>
            </w: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941FDC" w:rsidRPr="001925C9" w:rsidRDefault="00941FDC" w:rsidP="004551D0">
            <w:pPr>
              <w:keepNext/>
              <w:keepLines/>
              <w:jc w:val="center"/>
            </w:pPr>
          </w:p>
        </w:tc>
      </w:tr>
      <w:tr w:rsidR="00941FDC" w:rsidRPr="001925C9" w:rsidTr="004551D0">
        <w:trPr>
          <w:trHeight w:val="183"/>
        </w:trPr>
        <w:tc>
          <w:tcPr>
            <w:tcW w:w="15097" w:type="dxa"/>
            <w:gridSpan w:val="10"/>
            <w:shd w:val="clear" w:color="auto" w:fill="auto"/>
          </w:tcPr>
          <w:p w:rsidR="00941FDC" w:rsidRPr="001925C9" w:rsidRDefault="00941FDC" w:rsidP="00E707D7">
            <w:pPr>
              <w:suppressAutoHyphens w:val="0"/>
              <w:autoSpaceDE w:val="0"/>
              <w:ind w:right="132"/>
              <w:jc w:val="both"/>
            </w:pPr>
            <w:r w:rsidRPr="001925C9">
              <w:rPr>
                <w:sz w:val="22"/>
                <w:szCs w:val="22"/>
              </w:rPr>
              <w:t>Срок службы Товара, установленный изготовителем - не менее 7 (Семи) лет (согласно сроку пользования техническим средством реабилитации, установленным Приказом Минтруда России от 05.03.2021 № 107н «Об утверждении Сроков пользования техническими средствами реабилитации, протезами и протез</w:t>
            </w:r>
            <w:r w:rsidR="00E707D7" w:rsidRPr="001925C9">
              <w:rPr>
                <w:sz w:val="22"/>
                <w:szCs w:val="22"/>
              </w:rPr>
              <w:t>но-ортопедическими изделиями»).</w:t>
            </w:r>
          </w:p>
        </w:tc>
      </w:tr>
    </w:tbl>
    <w:p w:rsidR="00941FDC" w:rsidRPr="001925C9" w:rsidRDefault="00941FDC" w:rsidP="00941FDC">
      <w:pPr>
        <w:suppressAutoHyphens w:val="0"/>
        <w:jc w:val="both"/>
        <w:rPr>
          <w:sz w:val="22"/>
          <w:szCs w:val="22"/>
          <w:u w:val="single"/>
        </w:rPr>
      </w:pPr>
      <w:r w:rsidRPr="001925C9">
        <w:rPr>
          <w:sz w:val="22"/>
          <w:szCs w:val="22"/>
          <w:u w:val="single"/>
        </w:rPr>
        <w:t xml:space="preserve">*Приказ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РФ от 30.12.2005г. № 2347-Р». </w:t>
      </w:r>
    </w:p>
    <w:p w:rsidR="00941FDC" w:rsidRPr="001925C9" w:rsidRDefault="00941FDC" w:rsidP="00941FDC">
      <w:pPr>
        <w:suppressAutoHyphens w:val="0"/>
        <w:jc w:val="both"/>
        <w:rPr>
          <w:sz w:val="22"/>
          <w:szCs w:val="22"/>
          <w:u w:val="single"/>
        </w:rPr>
      </w:pPr>
    </w:p>
    <w:p w:rsidR="00941FDC" w:rsidRPr="001925C9" w:rsidRDefault="00941FDC" w:rsidP="00DC0336">
      <w:pPr>
        <w:suppressAutoHyphens w:val="0"/>
        <w:jc w:val="both"/>
        <w:rPr>
          <w:sz w:val="22"/>
          <w:szCs w:val="22"/>
        </w:rPr>
      </w:pPr>
      <w:r w:rsidRPr="001925C9">
        <w:rPr>
          <w:sz w:val="22"/>
          <w:szCs w:val="22"/>
          <w:u w:val="single"/>
        </w:rPr>
        <w:t>Место поставки Товара</w:t>
      </w:r>
      <w:r w:rsidRPr="001925C9">
        <w:rPr>
          <w:sz w:val="22"/>
          <w:szCs w:val="22"/>
        </w:rPr>
        <w:t xml:space="preserve">: территория г. Перми; </w:t>
      </w:r>
      <w:r w:rsidRPr="001925C9">
        <w:rPr>
          <w:bCs/>
          <w:sz w:val="22"/>
          <w:szCs w:val="22"/>
        </w:rPr>
        <w:t xml:space="preserve">после подписания Сторонами Акта выборочной </w:t>
      </w:r>
      <w:r w:rsidRPr="001925C9">
        <w:rPr>
          <w:sz w:val="22"/>
          <w:szCs w:val="22"/>
        </w:rPr>
        <w:t>проверки постав</w:t>
      </w:r>
      <w:r w:rsidR="00DC0336">
        <w:rPr>
          <w:sz w:val="22"/>
          <w:szCs w:val="22"/>
        </w:rPr>
        <w:t>ляемого товара – Пермский край,</w:t>
      </w:r>
      <w:r w:rsidRPr="001925C9">
        <w:rPr>
          <w:sz w:val="22"/>
          <w:szCs w:val="22"/>
        </w:rPr>
        <w:t xml:space="preserve"> до места проживания Получателей. </w:t>
      </w:r>
    </w:p>
    <w:p w:rsidR="00941FDC" w:rsidRPr="001925C9" w:rsidRDefault="00941FDC" w:rsidP="00DC0336">
      <w:pPr>
        <w:suppressAutoHyphens w:val="0"/>
        <w:jc w:val="both"/>
        <w:rPr>
          <w:sz w:val="22"/>
          <w:szCs w:val="22"/>
          <w:u w:val="single"/>
        </w:rPr>
      </w:pPr>
    </w:p>
    <w:p w:rsidR="00941FDC" w:rsidRPr="00970A0F" w:rsidRDefault="00941FDC" w:rsidP="00DC0336">
      <w:pPr>
        <w:suppressAutoHyphens w:val="0"/>
        <w:jc w:val="both"/>
        <w:rPr>
          <w:sz w:val="22"/>
          <w:szCs w:val="22"/>
        </w:rPr>
      </w:pPr>
      <w:r w:rsidRPr="001925C9">
        <w:rPr>
          <w:sz w:val="22"/>
          <w:szCs w:val="22"/>
          <w:u w:val="single"/>
        </w:rPr>
        <w:t xml:space="preserve">Весь объем Товара должен быть поставлен на территорию г. Перми </w:t>
      </w:r>
      <w:r w:rsidRPr="001925C9">
        <w:rPr>
          <w:sz w:val="22"/>
          <w:szCs w:val="22"/>
        </w:rPr>
        <w:t xml:space="preserve">- в течение 5 (Пяти) рабочих </w:t>
      </w:r>
      <w:r w:rsidRPr="00970A0F">
        <w:rPr>
          <w:sz w:val="22"/>
          <w:szCs w:val="22"/>
        </w:rPr>
        <w:t xml:space="preserve">дней </w:t>
      </w:r>
      <w:r w:rsidR="00970A0F" w:rsidRPr="00970A0F">
        <w:rPr>
          <w:sz w:val="22"/>
          <w:szCs w:val="22"/>
        </w:rPr>
        <w:t>со дня</w:t>
      </w:r>
      <w:r w:rsidRPr="00970A0F">
        <w:rPr>
          <w:sz w:val="22"/>
          <w:szCs w:val="22"/>
        </w:rPr>
        <w:t xml:space="preserve"> заключения контракта.</w:t>
      </w:r>
    </w:p>
    <w:p w:rsidR="00941FDC" w:rsidRPr="00970A0F" w:rsidRDefault="00941FDC" w:rsidP="00DC0336">
      <w:pPr>
        <w:suppressAutoHyphens w:val="0"/>
        <w:jc w:val="both"/>
        <w:rPr>
          <w:sz w:val="22"/>
          <w:szCs w:val="22"/>
        </w:rPr>
      </w:pPr>
    </w:p>
    <w:p w:rsidR="00941FDC" w:rsidRPr="00970A0F" w:rsidRDefault="00941FDC" w:rsidP="00DC0336">
      <w:pPr>
        <w:suppressAutoHyphens w:val="0"/>
        <w:jc w:val="both"/>
        <w:rPr>
          <w:sz w:val="22"/>
          <w:szCs w:val="22"/>
        </w:rPr>
      </w:pPr>
      <w:r w:rsidRPr="00970A0F">
        <w:rPr>
          <w:sz w:val="22"/>
          <w:szCs w:val="22"/>
          <w:u w:val="single"/>
        </w:rPr>
        <w:t>Срок поставки Товара Получателям</w:t>
      </w:r>
      <w:r w:rsidRPr="00970A0F">
        <w:rPr>
          <w:sz w:val="22"/>
          <w:szCs w:val="22"/>
        </w:rPr>
        <w:t xml:space="preserve">, </w:t>
      </w:r>
      <w:r w:rsidRPr="00970A0F">
        <w:rPr>
          <w:bCs/>
          <w:sz w:val="22"/>
          <w:szCs w:val="22"/>
        </w:rPr>
        <w:t xml:space="preserve">указанным в Реестре Получателей Товара, который предоставляется Поставщику Заказчиком, </w:t>
      </w:r>
      <w:r w:rsidRPr="00970A0F">
        <w:rPr>
          <w:sz w:val="22"/>
          <w:szCs w:val="22"/>
        </w:rPr>
        <w:t>в течение 20</w:t>
      </w:r>
      <w:r w:rsidRPr="00970A0F">
        <w:rPr>
          <w:color w:val="000000"/>
          <w:sz w:val="22"/>
          <w:szCs w:val="22"/>
        </w:rPr>
        <w:t xml:space="preserve"> (Двадцати) дней </w:t>
      </w:r>
      <w:r w:rsidR="00970A0F" w:rsidRPr="00970A0F">
        <w:rPr>
          <w:color w:val="000000"/>
          <w:sz w:val="22"/>
          <w:szCs w:val="22"/>
        </w:rPr>
        <w:t>с даты</w:t>
      </w:r>
      <w:r w:rsidRPr="00970A0F">
        <w:rPr>
          <w:color w:val="000000"/>
          <w:sz w:val="22"/>
          <w:szCs w:val="22"/>
        </w:rPr>
        <w:t xml:space="preserve"> передачи Реестра Получателей Товара, но не ранее подписания Сторонами </w:t>
      </w:r>
      <w:r w:rsidRPr="00970A0F">
        <w:rPr>
          <w:bCs/>
          <w:sz w:val="22"/>
          <w:szCs w:val="22"/>
        </w:rPr>
        <w:t xml:space="preserve">Акта выборочной </w:t>
      </w:r>
      <w:r w:rsidRPr="00970A0F">
        <w:rPr>
          <w:sz w:val="22"/>
          <w:szCs w:val="22"/>
        </w:rPr>
        <w:t>проверки поставляемого товара.</w:t>
      </w:r>
    </w:p>
    <w:p w:rsidR="00E707D7" w:rsidRPr="00970A0F" w:rsidRDefault="00E707D7" w:rsidP="00941FDC">
      <w:pPr>
        <w:suppressAutoHyphens w:val="0"/>
        <w:rPr>
          <w:sz w:val="22"/>
          <w:szCs w:val="22"/>
        </w:rPr>
      </w:pPr>
    </w:p>
    <w:p w:rsidR="00941FDC" w:rsidRPr="001925C9" w:rsidRDefault="00941FDC" w:rsidP="00941FDC">
      <w:pPr>
        <w:widowControl/>
        <w:suppressAutoHyphens w:val="0"/>
        <w:jc w:val="both"/>
        <w:rPr>
          <w:b/>
          <w:sz w:val="22"/>
          <w:szCs w:val="22"/>
        </w:rPr>
      </w:pPr>
      <w:r w:rsidRPr="001925C9">
        <w:rPr>
          <w:b/>
          <w:bCs/>
          <w:sz w:val="22"/>
          <w:szCs w:val="22"/>
        </w:rPr>
        <w:t>Срок действия государственного контракта</w:t>
      </w:r>
      <w:r w:rsidRPr="001925C9">
        <w:rPr>
          <w:sz w:val="22"/>
          <w:szCs w:val="22"/>
        </w:rPr>
        <w:t xml:space="preserve"> </w:t>
      </w:r>
      <w:r w:rsidRPr="001925C9">
        <w:rPr>
          <w:b/>
          <w:bCs/>
          <w:sz w:val="22"/>
          <w:szCs w:val="22"/>
        </w:rPr>
        <w:t>– 13.12.2024 года</w:t>
      </w:r>
      <w:r w:rsidR="00E707D7" w:rsidRPr="001925C9">
        <w:rPr>
          <w:b/>
          <w:bCs/>
          <w:sz w:val="22"/>
          <w:szCs w:val="22"/>
        </w:rPr>
        <w:t xml:space="preserve"> (включительно)</w:t>
      </w:r>
      <w:r w:rsidRPr="001925C9">
        <w:rPr>
          <w:b/>
          <w:bCs/>
          <w:sz w:val="22"/>
          <w:szCs w:val="22"/>
        </w:rPr>
        <w:t>.</w:t>
      </w:r>
    </w:p>
    <w:p w:rsidR="00941FDC" w:rsidRPr="002C32AB" w:rsidRDefault="00941FDC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</w:p>
    <w:sectPr w:rsidR="00941FDC" w:rsidRPr="002C32AB" w:rsidSect="00AC7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95F36"/>
    <w:multiLevelType w:val="hybridMultilevel"/>
    <w:tmpl w:val="BB5ADDC6"/>
    <w:lvl w:ilvl="0" w:tplc="D8A6DF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011BF"/>
    <w:rsid w:val="00007320"/>
    <w:rsid w:val="00024A3D"/>
    <w:rsid w:val="00025F04"/>
    <w:rsid w:val="00043B2D"/>
    <w:rsid w:val="000508FB"/>
    <w:rsid w:val="00052D36"/>
    <w:rsid w:val="000670A3"/>
    <w:rsid w:val="0007619A"/>
    <w:rsid w:val="00081B16"/>
    <w:rsid w:val="000874F1"/>
    <w:rsid w:val="000A304B"/>
    <w:rsid w:val="000B3A6B"/>
    <w:rsid w:val="000B6308"/>
    <w:rsid w:val="000B732B"/>
    <w:rsid w:val="000E3522"/>
    <w:rsid w:val="00100236"/>
    <w:rsid w:val="00105B43"/>
    <w:rsid w:val="00106EC0"/>
    <w:rsid w:val="001150C8"/>
    <w:rsid w:val="00115F87"/>
    <w:rsid w:val="00131E83"/>
    <w:rsid w:val="00134B94"/>
    <w:rsid w:val="00134E41"/>
    <w:rsid w:val="001377B7"/>
    <w:rsid w:val="00163291"/>
    <w:rsid w:val="001800E4"/>
    <w:rsid w:val="001925C9"/>
    <w:rsid w:val="001B057E"/>
    <w:rsid w:val="001C1CE7"/>
    <w:rsid w:val="001C3478"/>
    <w:rsid w:val="001E2F6A"/>
    <w:rsid w:val="00212AA8"/>
    <w:rsid w:val="0022569C"/>
    <w:rsid w:val="00272175"/>
    <w:rsid w:val="002801EC"/>
    <w:rsid w:val="002944A9"/>
    <w:rsid w:val="00297ED9"/>
    <w:rsid w:val="002B6036"/>
    <w:rsid w:val="002B7165"/>
    <w:rsid w:val="002C32AB"/>
    <w:rsid w:val="002E5D88"/>
    <w:rsid w:val="002F6AAF"/>
    <w:rsid w:val="00303F89"/>
    <w:rsid w:val="0032020D"/>
    <w:rsid w:val="00323FF0"/>
    <w:rsid w:val="00331482"/>
    <w:rsid w:val="00335509"/>
    <w:rsid w:val="003457AF"/>
    <w:rsid w:val="0037416E"/>
    <w:rsid w:val="003827AE"/>
    <w:rsid w:val="003B0E2C"/>
    <w:rsid w:val="003C3A55"/>
    <w:rsid w:val="003C5B14"/>
    <w:rsid w:val="004022E5"/>
    <w:rsid w:val="00415390"/>
    <w:rsid w:val="00430682"/>
    <w:rsid w:val="00430E6B"/>
    <w:rsid w:val="00433832"/>
    <w:rsid w:val="00436BEA"/>
    <w:rsid w:val="0044556B"/>
    <w:rsid w:val="0044744A"/>
    <w:rsid w:val="004610BC"/>
    <w:rsid w:val="004621B7"/>
    <w:rsid w:val="00467412"/>
    <w:rsid w:val="004721A5"/>
    <w:rsid w:val="004729C5"/>
    <w:rsid w:val="00495D78"/>
    <w:rsid w:val="004A1E9E"/>
    <w:rsid w:val="004A62E2"/>
    <w:rsid w:val="004B30E1"/>
    <w:rsid w:val="004B4372"/>
    <w:rsid w:val="004D79FE"/>
    <w:rsid w:val="00526478"/>
    <w:rsid w:val="00536E13"/>
    <w:rsid w:val="00540DF3"/>
    <w:rsid w:val="00542225"/>
    <w:rsid w:val="0054270D"/>
    <w:rsid w:val="00551096"/>
    <w:rsid w:val="00566453"/>
    <w:rsid w:val="005724AC"/>
    <w:rsid w:val="0058192F"/>
    <w:rsid w:val="00585458"/>
    <w:rsid w:val="00595576"/>
    <w:rsid w:val="00596B03"/>
    <w:rsid w:val="005B1D35"/>
    <w:rsid w:val="005B4A80"/>
    <w:rsid w:val="005D7491"/>
    <w:rsid w:val="005E5E7A"/>
    <w:rsid w:val="005F3740"/>
    <w:rsid w:val="00620C05"/>
    <w:rsid w:val="0063679A"/>
    <w:rsid w:val="006558D5"/>
    <w:rsid w:val="006570AD"/>
    <w:rsid w:val="00664F5C"/>
    <w:rsid w:val="00676E39"/>
    <w:rsid w:val="00685437"/>
    <w:rsid w:val="00685BA8"/>
    <w:rsid w:val="006C02A0"/>
    <w:rsid w:val="006C33A6"/>
    <w:rsid w:val="006D2D6B"/>
    <w:rsid w:val="006D38BD"/>
    <w:rsid w:val="006D6322"/>
    <w:rsid w:val="006E4C0B"/>
    <w:rsid w:val="006F5FD8"/>
    <w:rsid w:val="0070014E"/>
    <w:rsid w:val="00704F2F"/>
    <w:rsid w:val="00731E34"/>
    <w:rsid w:val="0073424F"/>
    <w:rsid w:val="00736059"/>
    <w:rsid w:val="00745304"/>
    <w:rsid w:val="007509D8"/>
    <w:rsid w:val="00756F41"/>
    <w:rsid w:val="0076348E"/>
    <w:rsid w:val="0077396E"/>
    <w:rsid w:val="00774759"/>
    <w:rsid w:val="0077677D"/>
    <w:rsid w:val="00786064"/>
    <w:rsid w:val="00793F31"/>
    <w:rsid w:val="007A716A"/>
    <w:rsid w:val="007C3A2D"/>
    <w:rsid w:val="007D2D84"/>
    <w:rsid w:val="007F00BF"/>
    <w:rsid w:val="007F45B6"/>
    <w:rsid w:val="007F7FB6"/>
    <w:rsid w:val="00803833"/>
    <w:rsid w:val="008070E9"/>
    <w:rsid w:val="008208B0"/>
    <w:rsid w:val="00841F9A"/>
    <w:rsid w:val="00846A61"/>
    <w:rsid w:val="008637EF"/>
    <w:rsid w:val="00882869"/>
    <w:rsid w:val="008852D6"/>
    <w:rsid w:val="0089256C"/>
    <w:rsid w:val="00893E42"/>
    <w:rsid w:val="008A309F"/>
    <w:rsid w:val="008B7D56"/>
    <w:rsid w:val="008E3996"/>
    <w:rsid w:val="00902C24"/>
    <w:rsid w:val="00917D76"/>
    <w:rsid w:val="009221DF"/>
    <w:rsid w:val="009330C1"/>
    <w:rsid w:val="00941FDC"/>
    <w:rsid w:val="00945AB0"/>
    <w:rsid w:val="00955F7B"/>
    <w:rsid w:val="00956944"/>
    <w:rsid w:val="00970A0F"/>
    <w:rsid w:val="00992B25"/>
    <w:rsid w:val="009A5FDD"/>
    <w:rsid w:val="009D7BCB"/>
    <w:rsid w:val="009E0EF5"/>
    <w:rsid w:val="009E1B25"/>
    <w:rsid w:val="009E794A"/>
    <w:rsid w:val="009F518D"/>
    <w:rsid w:val="00A3175C"/>
    <w:rsid w:val="00A40DA3"/>
    <w:rsid w:val="00A46846"/>
    <w:rsid w:val="00A55585"/>
    <w:rsid w:val="00A57E0E"/>
    <w:rsid w:val="00A60D78"/>
    <w:rsid w:val="00A64AAE"/>
    <w:rsid w:val="00A71C97"/>
    <w:rsid w:val="00A754F8"/>
    <w:rsid w:val="00A81F15"/>
    <w:rsid w:val="00A87C74"/>
    <w:rsid w:val="00A90E71"/>
    <w:rsid w:val="00A922AF"/>
    <w:rsid w:val="00A93CCE"/>
    <w:rsid w:val="00A971BE"/>
    <w:rsid w:val="00AA2D83"/>
    <w:rsid w:val="00AA5CB7"/>
    <w:rsid w:val="00AC7893"/>
    <w:rsid w:val="00AD5D39"/>
    <w:rsid w:val="00AE3BBE"/>
    <w:rsid w:val="00B00CEC"/>
    <w:rsid w:val="00B01AF6"/>
    <w:rsid w:val="00B24973"/>
    <w:rsid w:val="00B610DB"/>
    <w:rsid w:val="00B635DC"/>
    <w:rsid w:val="00B724D7"/>
    <w:rsid w:val="00B75C8A"/>
    <w:rsid w:val="00B767AD"/>
    <w:rsid w:val="00B90C2E"/>
    <w:rsid w:val="00B9570D"/>
    <w:rsid w:val="00B966AD"/>
    <w:rsid w:val="00BC0F6E"/>
    <w:rsid w:val="00BC22E6"/>
    <w:rsid w:val="00BD6734"/>
    <w:rsid w:val="00BE25B6"/>
    <w:rsid w:val="00BE5077"/>
    <w:rsid w:val="00BE5A05"/>
    <w:rsid w:val="00C008D8"/>
    <w:rsid w:val="00C00BCB"/>
    <w:rsid w:val="00C04A46"/>
    <w:rsid w:val="00C13345"/>
    <w:rsid w:val="00C21127"/>
    <w:rsid w:val="00C334CE"/>
    <w:rsid w:val="00C35082"/>
    <w:rsid w:val="00C4337D"/>
    <w:rsid w:val="00C4423C"/>
    <w:rsid w:val="00C46386"/>
    <w:rsid w:val="00C50404"/>
    <w:rsid w:val="00C56E92"/>
    <w:rsid w:val="00C65703"/>
    <w:rsid w:val="00C70D04"/>
    <w:rsid w:val="00C9174D"/>
    <w:rsid w:val="00C92967"/>
    <w:rsid w:val="00C978FE"/>
    <w:rsid w:val="00CB7B18"/>
    <w:rsid w:val="00CF18EE"/>
    <w:rsid w:val="00D11001"/>
    <w:rsid w:val="00D165D7"/>
    <w:rsid w:val="00D53B1B"/>
    <w:rsid w:val="00D56D9A"/>
    <w:rsid w:val="00D74BEE"/>
    <w:rsid w:val="00D80F30"/>
    <w:rsid w:val="00D82CF5"/>
    <w:rsid w:val="00D85854"/>
    <w:rsid w:val="00D92CC0"/>
    <w:rsid w:val="00DA41B2"/>
    <w:rsid w:val="00DA446C"/>
    <w:rsid w:val="00DB02A9"/>
    <w:rsid w:val="00DC0336"/>
    <w:rsid w:val="00DC7910"/>
    <w:rsid w:val="00DD2DB6"/>
    <w:rsid w:val="00E06D56"/>
    <w:rsid w:val="00E0774D"/>
    <w:rsid w:val="00E1758B"/>
    <w:rsid w:val="00E24B11"/>
    <w:rsid w:val="00E51E29"/>
    <w:rsid w:val="00E540C7"/>
    <w:rsid w:val="00E56162"/>
    <w:rsid w:val="00E564FD"/>
    <w:rsid w:val="00E707D7"/>
    <w:rsid w:val="00E865E8"/>
    <w:rsid w:val="00ED4CF2"/>
    <w:rsid w:val="00EE1CF4"/>
    <w:rsid w:val="00EE310C"/>
    <w:rsid w:val="00F00819"/>
    <w:rsid w:val="00F15373"/>
    <w:rsid w:val="00F16104"/>
    <w:rsid w:val="00F16607"/>
    <w:rsid w:val="00F20473"/>
    <w:rsid w:val="00F4354D"/>
    <w:rsid w:val="00F506E7"/>
    <w:rsid w:val="00F526D5"/>
    <w:rsid w:val="00F6185C"/>
    <w:rsid w:val="00F7653F"/>
    <w:rsid w:val="00F76DDA"/>
    <w:rsid w:val="00F963EC"/>
    <w:rsid w:val="00FA4135"/>
    <w:rsid w:val="00FC4CE3"/>
    <w:rsid w:val="00FC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A4E3"/>
  <w15:docId w15:val="{92B5383B-A278-4EA4-B456-AA9A1A93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customStyle="1" w:styleId="ConsPlusNonformat">
    <w:name w:val="ConsPlusNonformat"/>
    <w:rsid w:val="005D749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F204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F204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Левичева Наталья Юрьевна</cp:lastModifiedBy>
  <cp:revision>179</cp:revision>
  <dcterms:created xsi:type="dcterms:W3CDTF">2022-01-27T10:18:00Z</dcterms:created>
  <dcterms:modified xsi:type="dcterms:W3CDTF">2024-09-20T07:42:00Z</dcterms:modified>
</cp:coreProperties>
</file>