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1A524A">
      <w:pPr>
        <w:keepNext/>
        <w:keepLines/>
        <w:autoSpaceDE w:val="0"/>
        <w:jc w:val="center"/>
        <w:rPr>
          <w:b/>
          <w:iCs/>
        </w:rPr>
      </w:pPr>
      <w:r w:rsidRPr="00CF24F6">
        <w:rPr>
          <w:b/>
          <w:iCs/>
        </w:rPr>
        <w:t>Описание объекта закупки</w:t>
      </w:r>
    </w:p>
    <w:p w:rsidR="000325BA" w:rsidRPr="005535A4" w:rsidRDefault="000325BA" w:rsidP="001A524A">
      <w:pPr>
        <w:pStyle w:val="a8"/>
        <w:keepNext/>
        <w:keepLines/>
        <w:tabs>
          <w:tab w:val="left" w:pos="0"/>
        </w:tabs>
        <w:rPr>
          <w:iCs/>
          <w:sz w:val="24"/>
        </w:rPr>
      </w:pPr>
    </w:p>
    <w:p w:rsidR="00A44046" w:rsidRPr="005535A4" w:rsidRDefault="000325BA" w:rsidP="00C85191">
      <w:pPr>
        <w:widowControl w:val="0"/>
        <w:suppressAutoHyphens w:val="0"/>
        <w:ind w:firstLine="680"/>
        <w:jc w:val="both"/>
      </w:pPr>
      <w:r w:rsidRPr="005535A4">
        <w:rPr>
          <w:b/>
        </w:rPr>
        <w:t>Предмет Контракта:</w:t>
      </w:r>
      <w:r w:rsidR="00F758FC" w:rsidRPr="005535A4">
        <w:rPr>
          <w:bCs/>
          <w:color w:val="000000"/>
          <w:lang w:eastAsia="ru-RU"/>
        </w:rPr>
        <w:t xml:space="preserve"> </w:t>
      </w:r>
      <w:r w:rsidR="005535A4" w:rsidRPr="005535A4">
        <w:rPr>
          <w:bCs/>
          <w:color w:val="000000"/>
        </w:rPr>
        <w:t xml:space="preserve">Выполнение работ по обеспечению корсетами и </w:t>
      </w:r>
      <w:proofErr w:type="spellStart"/>
      <w:r w:rsidR="005535A4" w:rsidRPr="005535A4">
        <w:rPr>
          <w:bCs/>
          <w:color w:val="000000"/>
        </w:rPr>
        <w:t>реклинаторами</w:t>
      </w:r>
      <w:proofErr w:type="spellEnd"/>
    </w:p>
    <w:p w:rsidR="000325BA" w:rsidRPr="005535A4" w:rsidRDefault="00C85191" w:rsidP="001A524A">
      <w:pPr>
        <w:keepNext/>
        <w:keepLines/>
        <w:autoSpaceDE w:val="0"/>
        <w:jc w:val="both"/>
        <w:rPr>
          <w:b/>
        </w:rPr>
      </w:pPr>
      <w:r w:rsidRPr="005535A4">
        <w:rPr>
          <w:b/>
        </w:rPr>
        <w:t xml:space="preserve">           </w:t>
      </w:r>
      <w:r w:rsidR="004133B3" w:rsidRPr="005535A4">
        <w:rPr>
          <w:b/>
        </w:rPr>
        <w:t>ИКЗ</w:t>
      </w:r>
      <w:r w:rsidR="005B5E05" w:rsidRPr="005535A4">
        <w:t>:</w:t>
      </w:r>
      <w:r w:rsidR="00F758FC" w:rsidRPr="005535A4">
        <w:rPr>
          <w:b/>
        </w:rPr>
        <w:t xml:space="preserve"> </w:t>
      </w:r>
      <w:r w:rsidR="005535A4" w:rsidRPr="005535A4">
        <w:rPr>
          <w:b/>
        </w:rPr>
        <w:t>241710601545871060100102270010000323</w:t>
      </w:r>
    </w:p>
    <w:p w:rsidR="00A07B07" w:rsidRDefault="00A07B07" w:rsidP="00A07B07">
      <w:pPr>
        <w:keepNext/>
        <w:keepLines/>
        <w:contextualSpacing/>
        <w:jc w:val="both"/>
        <w:rPr>
          <w:spacing w:val="-4"/>
          <w:sz w:val="26"/>
          <w:szCs w:val="26"/>
        </w:rPr>
      </w:pPr>
    </w:p>
    <w:p w:rsidR="00A07B07" w:rsidRPr="00A07B07" w:rsidRDefault="00A07B07" w:rsidP="00A07B07">
      <w:pPr>
        <w:keepNext/>
        <w:keepLines/>
        <w:contextualSpacing/>
        <w:jc w:val="both"/>
        <w:rPr>
          <w:spacing w:val="-4"/>
        </w:rPr>
      </w:pPr>
      <w:r w:rsidRPr="00A07B07">
        <w:rPr>
          <w:spacing w:val="-4"/>
        </w:rPr>
        <w:t xml:space="preserve">Невозможно определить объём работ  в соответствии с </w:t>
      </w:r>
      <w:r w:rsidRPr="00A07B07">
        <w:t>ч. 24 ст. 22 Закона № 44-ФЗ</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1843"/>
        <w:gridCol w:w="1276"/>
        <w:gridCol w:w="709"/>
        <w:gridCol w:w="566"/>
        <w:gridCol w:w="4395"/>
      </w:tblGrid>
      <w:tr w:rsidR="00A07B07" w:rsidRPr="00A07B07" w:rsidTr="00A07B07">
        <w:trPr>
          <w:trHeight w:val="2241"/>
        </w:trPr>
        <w:tc>
          <w:tcPr>
            <w:tcW w:w="568" w:type="dxa"/>
          </w:tcPr>
          <w:p w:rsidR="00A07B07" w:rsidRPr="00A07B07" w:rsidRDefault="00A07B07" w:rsidP="00A07B07">
            <w:pPr>
              <w:widowControl w:val="0"/>
              <w:suppressAutoHyphens w:val="0"/>
              <w:jc w:val="center"/>
              <w:rPr>
                <w:b/>
                <w:sz w:val="20"/>
                <w:szCs w:val="20"/>
              </w:rPr>
            </w:pPr>
            <w:r w:rsidRPr="00A07B07">
              <w:rPr>
                <w:b/>
                <w:sz w:val="20"/>
                <w:szCs w:val="20"/>
              </w:rPr>
              <w:t xml:space="preserve">№ </w:t>
            </w:r>
            <w:proofErr w:type="spellStart"/>
            <w:r w:rsidRPr="00A07B07">
              <w:rPr>
                <w:b/>
                <w:sz w:val="20"/>
                <w:szCs w:val="20"/>
              </w:rPr>
              <w:t>п</w:t>
            </w:r>
            <w:proofErr w:type="spellEnd"/>
            <w:r w:rsidRPr="00A07B07">
              <w:rPr>
                <w:b/>
                <w:sz w:val="20"/>
                <w:szCs w:val="20"/>
              </w:rPr>
              <w:t>/</w:t>
            </w:r>
            <w:proofErr w:type="spellStart"/>
            <w:r w:rsidRPr="00A07B07">
              <w:rPr>
                <w:b/>
                <w:sz w:val="20"/>
                <w:szCs w:val="20"/>
              </w:rPr>
              <w:t>п</w:t>
            </w:r>
            <w:proofErr w:type="spellEnd"/>
          </w:p>
        </w:tc>
        <w:tc>
          <w:tcPr>
            <w:tcW w:w="1417" w:type="dxa"/>
            <w:shd w:val="clear" w:color="auto" w:fill="auto"/>
          </w:tcPr>
          <w:p w:rsidR="00A07B07" w:rsidRPr="00A07B07" w:rsidRDefault="00A07B07" w:rsidP="00A07B07">
            <w:pPr>
              <w:widowControl w:val="0"/>
              <w:suppressAutoHyphens w:val="0"/>
              <w:jc w:val="center"/>
              <w:rPr>
                <w:b/>
                <w:sz w:val="20"/>
                <w:szCs w:val="20"/>
              </w:rPr>
            </w:pPr>
            <w:r w:rsidRPr="00A07B07">
              <w:rPr>
                <w:b/>
                <w:sz w:val="20"/>
                <w:szCs w:val="20"/>
              </w:rPr>
              <w:t>Наименование изделия</w:t>
            </w:r>
          </w:p>
        </w:tc>
        <w:tc>
          <w:tcPr>
            <w:tcW w:w="1843" w:type="dxa"/>
          </w:tcPr>
          <w:p w:rsidR="00A07B07" w:rsidRPr="00A07B07" w:rsidRDefault="00A07B07" w:rsidP="00A07B07">
            <w:pPr>
              <w:widowControl w:val="0"/>
              <w:suppressAutoHyphens w:val="0"/>
              <w:jc w:val="center"/>
              <w:rPr>
                <w:b/>
                <w:sz w:val="20"/>
                <w:szCs w:val="20"/>
              </w:rPr>
            </w:pPr>
            <w:r w:rsidRPr="00A07B07">
              <w:rPr>
                <w:b/>
                <w:sz w:val="20"/>
                <w:szCs w:val="20"/>
              </w:rPr>
              <w:t>Номер вида технического средства реабилитации (изделия) и его наименования в соответствии с Классификацией технических средств реабилитации (изделий) *</w:t>
            </w:r>
          </w:p>
        </w:tc>
        <w:tc>
          <w:tcPr>
            <w:tcW w:w="1276" w:type="dxa"/>
          </w:tcPr>
          <w:p w:rsidR="00A07B07" w:rsidRPr="00A07B07" w:rsidRDefault="00A07B07" w:rsidP="00A07B07">
            <w:pPr>
              <w:widowControl w:val="0"/>
              <w:suppressAutoHyphens w:val="0"/>
              <w:jc w:val="center"/>
              <w:rPr>
                <w:b/>
                <w:sz w:val="20"/>
                <w:szCs w:val="20"/>
              </w:rPr>
            </w:pPr>
            <w:r w:rsidRPr="00A07B07">
              <w:rPr>
                <w:b/>
                <w:sz w:val="20"/>
                <w:szCs w:val="20"/>
              </w:rPr>
              <w:t>ОКПД2/ КТРУ/</w:t>
            </w:r>
          </w:p>
          <w:p w:rsidR="00A07B07" w:rsidRPr="00A07B07" w:rsidRDefault="00A07B07" w:rsidP="00A07B07">
            <w:pPr>
              <w:widowControl w:val="0"/>
              <w:suppressAutoHyphens w:val="0"/>
              <w:jc w:val="center"/>
              <w:rPr>
                <w:b/>
                <w:sz w:val="20"/>
                <w:szCs w:val="20"/>
              </w:rPr>
            </w:pPr>
            <w:r w:rsidRPr="00A07B07">
              <w:rPr>
                <w:b/>
                <w:sz w:val="20"/>
                <w:szCs w:val="20"/>
              </w:rPr>
              <w:t>КОЗ</w:t>
            </w:r>
          </w:p>
        </w:tc>
        <w:tc>
          <w:tcPr>
            <w:tcW w:w="709" w:type="dxa"/>
          </w:tcPr>
          <w:p w:rsidR="00A07B07" w:rsidRPr="00A07B07" w:rsidRDefault="00A07B07" w:rsidP="00A07B07">
            <w:pPr>
              <w:widowControl w:val="0"/>
              <w:suppressAutoHyphens w:val="0"/>
              <w:jc w:val="center"/>
              <w:rPr>
                <w:b/>
                <w:sz w:val="20"/>
                <w:szCs w:val="20"/>
              </w:rPr>
            </w:pPr>
            <w:r w:rsidRPr="00A07B07">
              <w:rPr>
                <w:b/>
                <w:sz w:val="20"/>
                <w:szCs w:val="20"/>
              </w:rPr>
              <w:t>Ед.</w:t>
            </w:r>
          </w:p>
          <w:p w:rsidR="00A07B07" w:rsidRPr="00A07B07" w:rsidRDefault="00A07B07" w:rsidP="00A07B07">
            <w:pPr>
              <w:widowControl w:val="0"/>
              <w:suppressAutoHyphens w:val="0"/>
              <w:jc w:val="center"/>
              <w:rPr>
                <w:b/>
                <w:sz w:val="20"/>
                <w:szCs w:val="20"/>
              </w:rPr>
            </w:pPr>
            <w:proofErr w:type="spellStart"/>
            <w:r w:rsidRPr="00A07B07">
              <w:rPr>
                <w:b/>
                <w:sz w:val="20"/>
                <w:szCs w:val="20"/>
              </w:rPr>
              <w:t>изм</w:t>
            </w:r>
            <w:proofErr w:type="spellEnd"/>
            <w:r w:rsidRPr="00A07B07">
              <w:rPr>
                <w:b/>
                <w:sz w:val="20"/>
                <w:szCs w:val="20"/>
              </w:rPr>
              <w:t>.</w:t>
            </w:r>
          </w:p>
        </w:tc>
        <w:tc>
          <w:tcPr>
            <w:tcW w:w="566" w:type="dxa"/>
          </w:tcPr>
          <w:p w:rsidR="00A07B07" w:rsidRPr="00A07B07" w:rsidRDefault="00A07B07" w:rsidP="00A07B07">
            <w:pPr>
              <w:widowControl w:val="0"/>
              <w:suppressAutoHyphens w:val="0"/>
              <w:jc w:val="center"/>
              <w:rPr>
                <w:b/>
                <w:sz w:val="20"/>
                <w:szCs w:val="20"/>
              </w:rPr>
            </w:pPr>
            <w:r w:rsidRPr="00A07B07">
              <w:rPr>
                <w:b/>
                <w:sz w:val="20"/>
                <w:szCs w:val="20"/>
              </w:rPr>
              <w:t>Кол-во</w:t>
            </w:r>
          </w:p>
        </w:tc>
        <w:tc>
          <w:tcPr>
            <w:tcW w:w="4395" w:type="dxa"/>
            <w:tcBorders>
              <w:bottom w:val="single" w:sz="4" w:space="0" w:color="auto"/>
            </w:tcBorders>
            <w:shd w:val="clear" w:color="auto" w:fill="auto"/>
          </w:tcPr>
          <w:p w:rsidR="00A07B07" w:rsidRPr="00A07B07" w:rsidRDefault="00A07B07" w:rsidP="00A07B07">
            <w:pPr>
              <w:widowControl w:val="0"/>
              <w:suppressAutoHyphens w:val="0"/>
              <w:jc w:val="center"/>
              <w:rPr>
                <w:b/>
                <w:sz w:val="20"/>
                <w:szCs w:val="20"/>
              </w:rPr>
            </w:pPr>
            <w:r w:rsidRPr="00A07B07">
              <w:rPr>
                <w:b/>
                <w:sz w:val="20"/>
                <w:szCs w:val="20"/>
              </w:rPr>
              <w:t>Характеристика работ</w:t>
            </w:r>
          </w:p>
        </w:tc>
      </w:tr>
      <w:tr w:rsidR="00A07B07" w:rsidRPr="00A07B07" w:rsidTr="00A07B07">
        <w:trPr>
          <w:trHeight w:val="1593"/>
        </w:trPr>
        <w:tc>
          <w:tcPr>
            <w:tcW w:w="568" w:type="dxa"/>
          </w:tcPr>
          <w:p w:rsidR="00A07B07" w:rsidRPr="00A07B07" w:rsidRDefault="00A07B07" w:rsidP="00A07B07">
            <w:pPr>
              <w:widowControl w:val="0"/>
              <w:suppressAutoHyphens w:val="0"/>
              <w:jc w:val="both"/>
              <w:rPr>
                <w:sz w:val="20"/>
                <w:szCs w:val="20"/>
              </w:rPr>
            </w:pPr>
            <w:r w:rsidRPr="00A07B07">
              <w:rPr>
                <w:sz w:val="20"/>
                <w:szCs w:val="20"/>
              </w:rPr>
              <w:t>1.</w:t>
            </w:r>
          </w:p>
        </w:tc>
        <w:tc>
          <w:tcPr>
            <w:tcW w:w="1417" w:type="dxa"/>
            <w:shd w:val="clear" w:color="auto" w:fill="auto"/>
          </w:tcPr>
          <w:p w:rsidR="00A07B07" w:rsidRPr="00A07B07" w:rsidRDefault="00A07B07" w:rsidP="00A07B07">
            <w:pPr>
              <w:widowControl w:val="0"/>
              <w:suppressAutoHyphens w:val="0"/>
              <w:jc w:val="both"/>
              <w:rPr>
                <w:sz w:val="20"/>
                <w:szCs w:val="20"/>
              </w:rPr>
            </w:pPr>
            <w:r w:rsidRPr="00A07B07">
              <w:rPr>
                <w:sz w:val="20"/>
                <w:szCs w:val="20"/>
              </w:rPr>
              <w:t>Корсет мягкой фиксации</w:t>
            </w:r>
          </w:p>
          <w:p w:rsidR="00A07B07" w:rsidRPr="00A07B07" w:rsidRDefault="00A07B07" w:rsidP="00A07B07">
            <w:pPr>
              <w:widowControl w:val="0"/>
              <w:suppressAutoHyphens w:val="0"/>
              <w:jc w:val="both"/>
              <w:rPr>
                <w:sz w:val="20"/>
                <w:szCs w:val="20"/>
              </w:rPr>
            </w:pPr>
          </w:p>
          <w:p w:rsidR="00A07B07" w:rsidRPr="00A07B07" w:rsidRDefault="00A07B07" w:rsidP="00A07B07">
            <w:pPr>
              <w:pStyle w:val="17"/>
              <w:suppressAutoHyphens w:val="0"/>
              <w:jc w:val="both"/>
              <w:rPr>
                <w:rFonts w:ascii="Times New Roman" w:eastAsia="Times New Roman" w:hAnsi="Times New Roman" w:cs="Times New Roman"/>
                <w:kern w:val="0"/>
                <w:sz w:val="20"/>
                <w:szCs w:val="20"/>
              </w:rPr>
            </w:pPr>
          </w:p>
        </w:tc>
        <w:tc>
          <w:tcPr>
            <w:tcW w:w="1843" w:type="dxa"/>
          </w:tcPr>
          <w:p w:rsidR="00A07B07" w:rsidRPr="00A07B07" w:rsidRDefault="00A07B07" w:rsidP="00A07B07">
            <w:pPr>
              <w:widowControl w:val="0"/>
              <w:suppressAutoHyphens w:val="0"/>
              <w:jc w:val="both"/>
              <w:rPr>
                <w:sz w:val="20"/>
                <w:szCs w:val="20"/>
              </w:rPr>
            </w:pPr>
            <w:r w:rsidRPr="00A07B07">
              <w:rPr>
                <w:sz w:val="20"/>
                <w:szCs w:val="20"/>
              </w:rPr>
              <w:t>8-09-22</w:t>
            </w:r>
          </w:p>
          <w:p w:rsidR="00A07B07" w:rsidRPr="00A07B07" w:rsidRDefault="00A07B07" w:rsidP="00A07B07">
            <w:pPr>
              <w:widowControl w:val="0"/>
              <w:suppressAutoHyphens w:val="0"/>
              <w:jc w:val="both"/>
              <w:rPr>
                <w:sz w:val="20"/>
                <w:szCs w:val="20"/>
              </w:rPr>
            </w:pPr>
            <w:r w:rsidRPr="00A07B07">
              <w:rPr>
                <w:sz w:val="20"/>
                <w:szCs w:val="20"/>
              </w:rPr>
              <w:t>Корсет мягкой фиксации</w:t>
            </w:r>
          </w:p>
        </w:tc>
        <w:tc>
          <w:tcPr>
            <w:tcW w:w="1276" w:type="dxa"/>
          </w:tcPr>
          <w:p w:rsidR="00A07B07" w:rsidRPr="00A07B07" w:rsidRDefault="00A07B07" w:rsidP="00A07B07">
            <w:pPr>
              <w:widowControl w:val="0"/>
              <w:suppressAutoHyphens w:val="0"/>
              <w:jc w:val="both"/>
              <w:rPr>
                <w:sz w:val="20"/>
                <w:szCs w:val="20"/>
              </w:rPr>
            </w:pPr>
            <w:r w:rsidRPr="00A07B07">
              <w:rPr>
                <w:sz w:val="20"/>
                <w:szCs w:val="20"/>
              </w:rPr>
              <w:t>32.50.22.125/-/ 03.28.08.09.22</w:t>
            </w:r>
          </w:p>
        </w:tc>
        <w:tc>
          <w:tcPr>
            <w:tcW w:w="709" w:type="dxa"/>
          </w:tcPr>
          <w:p w:rsidR="00A07B07" w:rsidRPr="00A07B07" w:rsidRDefault="00A07B07" w:rsidP="00A07B07">
            <w:pPr>
              <w:widowControl w:val="0"/>
              <w:suppressAutoHyphens w:val="0"/>
              <w:jc w:val="both"/>
              <w:rPr>
                <w:sz w:val="20"/>
                <w:szCs w:val="20"/>
              </w:rPr>
            </w:pPr>
            <w:r w:rsidRPr="00A07B07">
              <w:rPr>
                <w:sz w:val="20"/>
                <w:szCs w:val="20"/>
              </w:rPr>
              <w:t>Шт.</w:t>
            </w:r>
          </w:p>
        </w:tc>
        <w:tc>
          <w:tcPr>
            <w:tcW w:w="566" w:type="dxa"/>
          </w:tcPr>
          <w:p w:rsidR="00A07B07" w:rsidRPr="00A07B07" w:rsidRDefault="00A07B07" w:rsidP="00A07B07">
            <w:pPr>
              <w:widowControl w:val="0"/>
              <w:suppressAutoHyphens w:val="0"/>
              <w:jc w:val="both"/>
              <w:rPr>
                <w:sz w:val="20"/>
                <w:szCs w:val="20"/>
              </w:rPr>
            </w:pPr>
            <w:r w:rsidRPr="00A07B07">
              <w:rPr>
                <w:sz w:val="20"/>
                <w:szCs w:val="20"/>
              </w:rPr>
              <w:t>1</w:t>
            </w:r>
          </w:p>
        </w:tc>
        <w:tc>
          <w:tcPr>
            <w:tcW w:w="4395" w:type="dxa"/>
            <w:shd w:val="clear" w:color="auto" w:fill="auto"/>
          </w:tcPr>
          <w:p w:rsidR="00A07B07" w:rsidRPr="00A07B07" w:rsidRDefault="00A07B07" w:rsidP="00A07B07">
            <w:pPr>
              <w:widowControl w:val="0"/>
              <w:suppressAutoHyphens w:val="0"/>
              <w:jc w:val="both"/>
              <w:rPr>
                <w:sz w:val="20"/>
                <w:szCs w:val="20"/>
              </w:rPr>
            </w:pPr>
            <w:r w:rsidRPr="00A07B07">
              <w:rPr>
                <w:sz w:val="20"/>
                <w:szCs w:val="20"/>
              </w:rPr>
              <w:t>Корсет фиксирующий мягкой фиксации, различной локализации по отделам позвоночника (в зависимости от медицинских показаний для конкретного пациента) должен быть фиксирующий, разгружающий, из эластичных материалов, изготовление по обмерам, лечебно-профилактический.</w:t>
            </w:r>
          </w:p>
        </w:tc>
      </w:tr>
      <w:tr w:rsidR="00A07B07" w:rsidRPr="00A07B07" w:rsidTr="00A07B07">
        <w:trPr>
          <w:trHeight w:val="1688"/>
        </w:trPr>
        <w:tc>
          <w:tcPr>
            <w:tcW w:w="568" w:type="dxa"/>
          </w:tcPr>
          <w:p w:rsidR="00A07B07" w:rsidRPr="00A07B07" w:rsidRDefault="00A07B07" w:rsidP="00A07B07">
            <w:pPr>
              <w:widowControl w:val="0"/>
              <w:suppressAutoHyphens w:val="0"/>
              <w:jc w:val="both"/>
              <w:rPr>
                <w:sz w:val="20"/>
                <w:szCs w:val="20"/>
              </w:rPr>
            </w:pPr>
            <w:r w:rsidRPr="00A07B07">
              <w:rPr>
                <w:sz w:val="20"/>
                <w:szCs w:val="20"/>
              </w:rPr>
              <w:t>2.</w:t>
            </w:r>
          </w:p>
        </w:tc>
        <w:tc>
          <w:tcPr>
            <w:tcW w:w="1417" w:type="dxa"/>
            <w:shd w:val="clear" w:color="auto" w:fill="auto"/>
          </w:tcPr>
          <w:p w:rsidR="00A07B07" w:rsidRPr="00A07B07" w:rsidRDefault="00A07B07" w:rsidP="00A07B07">
            <w:pPr>
              <w:widowControl w:val="0"/>
              <w:suppressAutoHyphens w:val="0"/>
              <w:jc w:val="both"/>
              <w:rPr>
                <w:sz w:val="20"/>
                <w:szCs w:val="20"/>
              </w:rPr>
            </w:pPr>
            <w:r w:rsidRPr="00A07B07">
              <w:rPr>
                <w:sz w:val="20"/>
                <w:szCs w:val="20"/>
              </w:rPr>
              <w:t>Корсет полужесткой фиксации</w:t>
            </w:r>
          </w:p>
          <w:p w:rsidR="00A07B07" w:rsidRPr="00A07B07" w:rsidRDefault="00A07B07" w:rsidP="00A07B07">
            <w:pPr>
              <w:widowControl w:val="0"/>
              <w:suppressAutoHyphens w:val="0"/>
              <w:jc w:val="both"/>
              <w:rPr>
                <w:sz w:val="20"/>
                <w:szCs w:val="20"/>
              </w:rPr>
            </w:pPr>
          </w:p>
        </w:tc>
        <w:tc>
          <w:tcPr>
            <w:tcW w:w="1843" w:type="dxa"/>
          </w:tcPr>
          <w:p w:rsidR="00A07B07" w:rsidRPr="00A07B07" w:rsidRDefault="00A07B07" w:rsidP="00A07B07">
            <w:pPr>
              <w:widowControl w:val="0"/>
              <w:suppressAutoHyphens w:val="0"/>
              <w:jc w:val="both"/>
              <w:rPr>
                <w:sz w:val="20"/>
                <w:szCs w:val="20"/>
              </w:rPr>
            </w:pPr>
            <w:r w:rsidRPr="00A07B07">
              <w:rPr>
                <w:sz w:val="20"/>
                <w:szCs w:val="20"/>
              </w:rPr>
              <w:t>8-09-23</w:t>
            </w:r>
          </w:p>
          <w:p w:rsidR="00A07B07" w:rsidRPr="00A07B07" w:rsidRDefault="00A07B07" w:rsidP="00A07B07">
            <w:pPr>
              <w:widowControl w:val="0"/>
              <w:suppressAutoHyphens w:val="0"/>
              <w:jc w:val="both"/>
              <w:rPr>
                <w:sz w:val="20"/>
                <w:szCs w:val="20"/>
              </w:rPr>
            </w:pPr>
            <w:r w:rsidRPr="00A07B07">
              <w:rPr>
                <w:sz w:val="20"/>
                <w:szCs w:val="20"/>
              </w:rPr>
              <w:t>Корсет полужесткой фиксации</w:t>
            </w:r>
          </w:p>
          <w:p w:rsidR="00A07B07" w:rsidRPr="00A07B07" w:rsidRDefault="00A07B07" w:rsidP="00A07B07">
            <w:pPr>
              <w:widowControl w:val="0"/>
              <w:suppressAutoHyphens w:val="0"/>
              <w:jc w:val="both"/>
              <w:rPr>
                <w:sz w:val="20"/>
                <w:szCs w:val="20"/>
              </w:rPr>
            </w:pPr>
          </w:p>
        </w:tc>
        <w:tc>
          <w:tcPr>
            <w:tcW w:w="1276" w:type="dxa"/>
          </w:tcPr>
          <w:p w:rsidR="00A07B07" w:rsidRPr="00A07B07" w:rsidRDefault="00A07B07" w:rsidP="00A07B07">
            <w:pPr>
              <w:widowControl w:val="0"/>
              <w:suppressAutoHyphens w:val="0"/>
              <w:jc w:val="both"/>
              <w:rPr>
                <w:sz w:val="20"/>
                <w:szCs w:val="20"/>
              </w:rPr>
            </w:pPr>
            <w:r w:rsidRPr="00A07B07">
              <w:rPr>
                <w:sz w:val="20"/>
                <w:szCs w:val="20"/>
              </w:rPr>
              <w:t>32.50.22.125/-/ 03.28.08.09.23</w:t>
            </w:r>
          </w:p>
        </w:tc>
        <w:tc>
          <w:tcPr>
            <w:tcW w:w="709" w:type="dxa"/>
          </w:tcPr>
          <w:p w:rsidR="00A07B07" w:rsidRPr="00A07B07" w:rsidRDefault="00A07B07" w:rsidP="00A07B07">
            <w:pPr>
              <w:widowControl w:val="0"/>
              <w:suppressAutoHyphens w:val="0"/>
              <w:jc w:val="both"/>
              <w:rPr>
                <w:sz w:val="20"/>
                <w:szCs w:val="20"/>
              </w:rPr>
            </w:pPr>
            <w:r w:rsidRPr="00A07B07">
              <w:rPr>
                <w:sz w:val="20"/>
                <w:szCs w:val="20"/>
              </w:rPr>
              <w:t>Шт.</w:t>
            </w:r>
          </w:p>
        </w:tc>
        <w:tc>
          <w:tcPr>
            <w:tcW w:w="566" w:type="dxa"/>
          </w:tcPr>
          <w:p w:rsidR="00A07B07" w:rsidRPr="00A07B07" w:rsidRDefault="00A07B07" w:rsidP="00A07B07">
            <w:pPr>
              <w:widowControl w:val="0"/>
              <w:suppressAutoHyphens w:val="0"/>
              <w:jc w:val="both"/>
              <w:rPr>
                <w:sz w:val="20"/>
                <w:szCs w:val="20"/>
              </w:rPr>
            </w:pPr>
            <w:r w:rsidRPr="00A07B07">
              <w:rPr>
                <w:sz w:val="20"/>
                <w:szCs w:val="20"/>
              </w:rPr>
              <w:t>1</w:t>
            </w:r>
          </w:p>
        </w:tc>
        <w:tc>
          <w:tcPr>
            <w:tcW w:w="4395" w:type="dxa"/>
            <w:shd w:val="clear" w:color="auto" w:fill="auto"/>
          </w:tcPr>
          <w:p w:rsidR="00A07B07" w:rsidRPr="00A07B07" w:rsidRDefault="00A07B07" w:rsidP="00A07B07">
            <w:pPr>
              <w:widowControl w:val="0"/>
              <w:suppressAutoHyphens w:val="0"/>
              <w:jc w:val="both"/>
              <w:rPr>
                <w:sz w:val="20"/>
                <w:szCs w:val="20"/>
              </w:rPr>
            </w:pPr>
            <w:r w:rsidRPr="00A07B07">
              <w:rPr>
                <w:sz w:val="20"/>
                <w:szCs w:val="20"/>
              </w:rPr>
              <w:t>Корсет полужесткой фиксации, различной локализации по отделам позвоночника (в зависимости от медицинских показаний для конкретного пациента) должен быть фиксирующий, разгружающий, из эластичных материалов, может быть с ребрами жесткости (в зависимости от показаний), индивидуальный подбор по обмерам, постоянный.</w:t>
            </w:r>
          </w:p>
        </w:tc>
      </w:tr>
      <w:tr w:rsidR="00A07B07" w:rsidRPr="00A07B07" w:rsidTr="00A07B07">
        <w:trPr>
          <w:trHeight w:val="1686"/>
        </w:trPr>
        <w:tc>
          <w:tcPr>
            <w:tcW w:w="568" w:type="dxa"/>
          </w:tcPr>
          <w:p w:rsidR="00A07B07" w:rsidRPr="00A07B07" w:rsidRDefault="00A07B07" w:rsidP="00A07B07">
            <w:pPr>
              <w:widowControl w:val="0"/>
              <w:suppressAutoHyphens w:val="0"/>
              <w:jc w:val="both"/>
              <w:rPr>
                <w:sz w:val="20"/>
                <w:szCs w:val="20"/>
              </w:rPr>
            </w:pPr>
            <w:r w:rsidRPr="00A07B07">
              <w:rPr>
                <w:sz w:val="20"/>
                <w:szCs w:val="20"/>
              </w:rPr>
              <w:t>3.</w:t>
            </w:r>
          </w:p>
        </w:tc>
        <w:tc>
          <w:tcPr>
            <w:tcW w:w="1417" w:type="dxa"/>
            <w:shd w:val="clear" w:color="auto" w:fill="auto"/>
          </w:tcPr>
          <w:p w:rsidR="00A07B07" w:rsidRPr="00A07B07" w:rsidRDefault="00A07B07" w:rsidP="00A07B07">
            <w:pPr>
              <w:widowControl w:val="0"/>
              <w:suppressAutoHyphens w:val="0"/>
              <w:jc w:val="both"/>
              <w:rPr>
                <w:sz w:val="20"/>
                <w:szCs w:val="20"/>
              </w:rPr>
            </w:pPr>
            <w:r w:rsidRPr="00A07B07">
              <w:rPr>
                <w:sz w:val="20"/>
                <w:szCs w:val="20"/>
              </w:rPr>
              <w:t>Корсет полужесткой фиксации</w:t>
            </w:r>
          </w:p>
          <w:p w:rsidR="00A07B07" w:rsidRPr="00A07B07" w:rsidRDefault="00A07B07" w:rsidP="00A07B07">
            <w:pPr>
              <w:widowControl w:val="0"/>
              <w:suppressAutoHyphens w:val="0"/>
              <w:jc w:val="both"/>
              <w:rPr>
                <w:sz w:val="20"/>
                <w:szCs w:val="20"/>
              </w:rPr>
            </w:pPr>
          </w:p>
        </w:tc>
        <w:tc>
          <w:tcPr>
            <w:tcW w:w="1843" w:type="dxa"/>
          </w:tcPr>
          <w:p w:rsidR="00A07B07" w:rsidRPr="00A07B07" w:rsidRDefault="00A07B07" w:rsidP="00A07B07">
            <w:pPr>
              <w:widowControl w:val="0"/>
              <w:suppressAutoHyphens w:val="0"/>
              <w:jc w:val="both"/>
              <w:rPr>
                <w:sz w:val="20"/>
                <w:szCs w:val="20"/>
              </w:rPr>
            </w:pPr>
            <w:r w:rsidRPr="00A07B07">
              <w:rPr>
                <w:sz w:val="20"/>
                <w:szCs w:val="20"/>
              </w:rPr>
              <w:t>8-09-23</w:t>
            </w:r>
          </w:p>
          <w:p w:rsidR="00A07B07" w:rsidRPr="00A07B07" w:rsidRDefault="00A07B07" w:rsidP="00A07B07">
            <w:pPr>
              <w:widowControl w:val="0"/>
              <w:suppressAutoHyphens w:val="0"/>
              <w:jc w:val="both"/>
              <w:rPr>
                <w:sz w:val="20"/>
                <w:szCs w:val="20"/>
              </w:rPr>
            </w:pPr>
            <w:r w:rsidRPr="00A07B07">
              <w:rPr>
                <w:sz w:val="20"/>
                <w:szCs w:val="20"/>
              </w:rPr>
              <w:t>Корсет полужесткой фиксации</w:t>
            </w:r>
          </w:p>
          <w:p w:rsidR="00A07B07" w:rsidRPr="00A07B07" w:rsidRDefault="00A07B07" w:rsidP="00A07B07">
            <w:pPr>
              <w:widowControl w:val="0"/>
              <w:suppressAutoHyphens w:val="0"/>
              <w:jc w:val="both"/>
              <w:rPr>
                <w:sz w:val="20"/>
                <w:szCs w:val="20"/>
              </w:rPr>
            </w:pPr>
          </w:p>
        </w:tc>
        <w:tc>
          <w:tcPr>
            <w:tcW w:w="1276" w:type="dxa"/>
          </w:tcPr>
          <w:p w:rsidR="00A07B07" w:rsidRPr="00A07B07" w:rsidRDefault="00A07B07" w:rsidP="00A07B07">
            <w:pPr>
              <w:widowControl w:val="0"/>
              <w:suppressAutoHyphens w:val="0"/>
              <w:jc w:val="both"/>
              <w:rPr>
                <w:sz w:val="20"/>
                <w:szCs w:val="20"/>
              </w:rPr>
            </w:pPr>
            <w:r w:rsidRPr="00A07B07">
              <w:rPr>
                <w:sz w:val="20"/>
                <w:szCs w:val="20"/>
              </w:rPr>
              <w:t>32.50.22.125/-/ 03.29.08.09.23</w:t>
            </w:r>
          </w:p>
        </w:tc>
        <w:tc>
          <w:tcPr>
            <w:tcW w:w="709" w:type="dxa"/>
          </w:tcPr>
          <w:p w:rsidR="00A07B07" w:rsidRPr="00A07B07" w:rsidRDefault="00A07B07" w:rsidP="00A07B07">
            <w:pPr>
              <w:widowControl w:val="0"/>
              <w:suppressAutoHyphens w:val="0"/>
              <w:jc w:val="both"/>
              <w:rPr>
                <w:sz w:val="20"/>
                <w:szCs w:val="20"/>
              </w:rPr>
            </w:pPr>
            <w:r w:rsidRPr="00A07B07">
              <w:rPr>
                <w:sz w:val="20"/>
                <w:szCs w:val="20"/>
              </w:rPr>
              <w:t>Шт.</w:t>
            </w:r>
          </w:p>
        </w:tc>
        <w:tc>
          <w:tcPr>
            <w:tcW w:w="566" w:type="dxa"/>
          </w:tcPr>
          <w:p w:rsidR="00A07B07" w:rsidRPr="00A07B07" w:rsidRDefault="00A07B07" w:rsidP="00A07B07">
            <w:pPr>
              <w:widowControl w:val="0"/>
              <w:suppressAutoHyphens w:val="0"/>
              <w:jc w:val="both"/>
              <w:rPr>
                <w:sz w:val="20"/>
                <w:szCs w:val="20"/>
              </w:rPr>
            </w:pPr>
            <w:r w:rsidRPr="00A07B07">
              <w:rPr>
                <w:sz w:val="20"/>
                <w:szCs w:val="20"/>
              </w:rPr>
              <w:t>1</w:t>
            </w:r>
          </w:p>
        </w:tc>
        <w:tc>
          <w:tcPr>
            <w:tcW w:w="4395" w:type="dxa"/>
            <w:shd w:val="clear" w:color="auto" w:fill="auto"/>
          </w:tcPr>
          <w:p w:rsidR="00A07B07" w:rsidRPr="00A07B07" w:rsidRDefault="00A07B07" w:rsidP="00A07B07">
            <w:pPr>
              <w:widowControl w:val="0"/>
              <w:suppressAutoHyphens w:val="0"/>
              <w:jc w:val="both"/>
              <w:rPr>
                <w:sz w:val="20"/>
                <w:szCs w:val="20"/>
              </w:rPr>
            </w:pPr>
            <w:r w:rsidRPr="00A07B07">
              <w:rPr>
                <w:sz w:val="20"/>
                <w:szCs w:val="20"/>
              </w:rPr>
              <w:t>Корсет полужесткой фиксации, различной локализации по отделам позвоночника (в зависимости от медицинских показаний для конкретного пациента) должен быть фиксирующий, разгружающий, из эластичных материалов, может быть с ребрами жесткости (в зависимости от показаний), индивидуальный подбор по обмерам, постоянный..</w:t>
            </w:r>
          </w:p>
        </w:tc>
      </w:tr>
      <w:tr w:rsidR="00A07B07" w:rsidRPr="00A07B07" w:rsidTr="00A07B07">
        <w:trPr>
          <w:trHeight w:val="1131"/>
        </w:trPr>
        <w:tc>
          <w:tcPr>
            <w:tcW w:w="568" w:type="dxa"/>
          </w:tcPr>
          <w:p w:rsidR="00A07B07" w:rsidRPr="00A07B07" w:rsidRDefault="00A07B07" w:rsidP="00A07B07">
            <w:pPr>
              <w:widowControl w:val="0"/>
              <w:suppressAutoHyphens w:val="0"/>
              <w:jc w:val="both"/>
              <w:rPr>
                <w:sz w:val="20"/>
                <w:szCs w:val="20"/>
              </w:rPr>
            </w:pPr>
            <w:r w:rsidRPr="00A07B07">
              <w:rPr>
                <w:sz w:val="20"/>
                <w:szCs w:val="20"/>
              </w:rPr>
              <w:t>4.</w:t>
            </w:r>
          </w:p>
        </w:tc>
        <w:tc>
          <w:tcPr>
            <w:tcW w:w="1417" w:type="dxa"/>
            <w:shd w:val="clear" w:color="auto" w:fill="auto"/>
          </w:tcPr>
          <w:p w:rsidR="00A07B07" w:rsidRPr="00A07B07" w:rsidRDefault="00A07B07" w:rsidP="00A07B07">
            <w:pPr>
              <w:widowControl w:val="0"/>
              <w:suppressAutoHyphens w:val="0"/>
              <w:jc w:val="both"/>
              <w:rPr>
                <w:sz w:val="20"/>
                <w:szCs w:val="20"/>
              </w:rPr>
            </w:pPr>
            <w:proofErr w:type="spellStart"/>
            <w:r w:rsidRPr="00A07B07">
              <w:rPr>
                <w:sz w:val="20"/>
                <w:szCs w:val="20"/>
              </w:rPr>
              <w:t>Реклинатор-корректор</w:t>
            </w:r>
            <w:proofErr w:type="spellEnd"/>
            <w:r w:rsidRPr="00A07B07">
              <w:rPr>
                <w:sz w:val="20"/>
                <w:szCs w:val="20"/>
              </w:rPr>
              <w:t xml:space="preserve"> осанки</w:t>
            </w:r>
          </w:p>
        </w:tc>
        <w:tc>
          <w:tcPr>
            <w:tcW w:w="1843" w:type="dxa"/>
          </w:tcPr>
          <w:p w:rsidR="00A07B07" w:rsidRPr="00A07B07" w:rsidRDefault="00A07B07" w:rsidP="00A07B07">
            <w:pPr>
              <w:widowControl w:val="0"/>
              <w:suppressAutoHyphens w:val="0"/>
              <w:jc w:val="both"/>
              <w:rPr>
                <w:sz w:val="20"/>
                <w:szCs w:val="20"/>
              </w:rPr>
            </w:pPr>
            <w:r w:rsidRPr="00A07B07">
              <w:rPr>
                <w:sz w:val="20"/>
                <w:szCs w:val="20"/>
              </w:rPr>
              <w:t>8-09-26</w:t>
            </w:r>
          </w:p>
          <w:p w:rsidR="00A07B07" w:rsidRPr="00A07B07" w:rsidRDefault="00A07B07" w:rsidP="00A07B07">
            <w:pPr>
              <w:widowControl w:val="0"/>
              <w:suppressAutoHyphens w:val="0"/>
              <w:jc w:val="both"/>
              <w:rPr>
                <w:sz w:val="20"/>
                <w:szCs w:val="20"/>
              </w:rPr>
            </w:pPr>
            <w:proofErr w:type="spellStart"/>
            <w:r w:rsidRPr="00A07B07">
              <w:rPr>
                <w:sz w:val="20"/>
                <w:szCs w:val="20"/>
              </w:rPr>
              <w:t>Реклинатор-корректор</w:t>
            </w:r>
            <w:proofErr w:type="spellEnd"/>
            <w:r w:rsidRPr="00A07B07">
              <w:rPr>
                <w:sz w:val="20"/>
                <w:szCs w:val="20"/>
              </w:rPr>
              <w:t xml:space="preserve"> осанки</w:t>
            </w:r>
          </w:p>
        </w:tc>
        <w:tc>
          <w:tcPr>
            <w:tcW w:w="1276" w:type="dxa"/>
          </w:tcPr>
          <w:p w:rsidR="00A07B07" w:rsidRPr="00A07B07" w:rsidRDefault="00A07B07" w:rsidP="00A07B07">
            <w:pPr>
              <w:widowControl w:val="0"/>
              <w:suppressAutoHyphens w:val="0"/>
              <w:jc w:val="both"/>
              <w:rPr>
                <w:sz w:val="20"/>
                <w:szCs w:val="20"/>
              </w:rPr>
            </w:pPr>
            <w:r w:rsidRPr="00A07B07">
              <w:rPr>
                <w:sz w:val="20"/>
                <w:szCs w:val="20"/>
              </w:rPr>
              <w:t xml:space="preserve">32.50.22.125/-/ </w:t>
            </w:r>
            <w:hyperlink r:id="rId8" w:anchor="/Koz?id=762" w:history="1">
              <w:r w:rsidRPr="00A07B07">
                <w:rPr>
                  <w:sz w:val="20"/>
                  <w:szCs w:val="20"/>
                </w:rPr>
                <w:t>03.28.08.09.26</w:t>
              </w:r>
            </w:hyperlink>
          </w:p>
        </w:tc>
        <w:tc>
          <w:tcPr>
            <w:tcW w:w="709" w:type="dxa"/>
          </w:tcPr>
          <w:p w:rsidR="00A07B07" w:rsidRPr="00A07B07" w:rsidRDefault="00A07B07" w:rsidP="00A07B07">
            <w:pPr>
              <w:widowControl w:val="0"/>
              <w:suppressAutoHyphens w:val="0"/>
              <w:jc w:val="both"/>
              <w:rPr>
                <w:sz w:val="20"/>
                <w:szCs w:val="20"/>
              </w:rPr>
            </w:pPr>
            <w:r w:rsidRPr="00A07B07">
              <w:rPr>
                <w:sz w:val="20"/>
                <w:szCs w:val="20"/>
              </w:rPr>
              <w:t>Шт.</w:t>
            </w:r>
          </w:p>
        </w:tc>
        <w:tc>
          <w:tcPr>
            <w:tcW w:w="566" w:type="dxa"/>
          </w:tcPr>
          <w:p w:rsidR="00A07B07" w:rsidRPr="00A07B07" w:rsidRDefault="00A07B07" w:rsidP="00A07B07">
            <w:pPr>
              <w:widowControl w:val="0"/>
              <w:suppressAutoHyphens w:val="0"/>
              <w:jc w:val="both"/>
              <w:rPr>
                <w:sz w:val="20"/>
                <w:szCs w:val="20"/>
              </w:rPr>
            </w:pPr>
            <w:r w:rsidRPr="00A07B07">
              <w:rPr>
                <w:sz w:val="20"/>
                <w:szCs w:val="20"/>
              </w:rPr>
              <w:t>1</w:t>
            </w:r>
          </w:p>
        </w:tc>
        <w:tc>
          <w:tcPr>
            <w:tcW w:w="4395" w:type="dxa"/>
            <w:shd w:val="clear" w:color="auto" w:fill="auto"/>
          </w:tcPr>
          <w:p w:rsidR="00A07B07" w:rsidRPr="00A07B07" w:rsidRDefault="00A07B07" w:rsidP="00A07B07">
            <w:pPr>
              <w:widowControl w:val="0"/>
              <w:suppressAutoHyphens w:val="0"/>
              <w:jc w:val="both"/>
              <w:rPr>
                <w:sz w:val="20"/>
                <w:szCs w:val="20"/>
              </w:rPr>
            </w:pPr>
            <w:proofErr w:type="spellStart"/>
            <w:r w:rsidRPr="00A07B07">
              <w:rPr>
                <w:sz w:val="20"/>
                <w:szCs w:val="20"/>
              </w:rPr>
              <w:t>Реклинатор</w:t>
            </w:r>
            <w:proofErr w:type="spellEnd"/>
            <w:r w:rsidRPr="00A07B07">
              <w:rPr>
                <w:sz w:val="20"/>
                <w:szCs w:val="20"/>
              </w:rPr>
              <w:t xml:space="preserve"> на грудной отдел позвоночника должен быть корригирующий, фиксирующий, разгружающий, из эластичных и/или текстильных материалов, индивидуальный подбор по обмерам, лечебно-профилактический.</w:t>
            </w:r>
          </w:p>
        </w:tc>
      </w:tr>
    </w:tbl>
    <w:p w:rsidR="00A07B07" w:rsidRDefault="00A07B07" w:rsidP="00F758FC">
      <w:pPr>
        <w:pStyle w:val="text"/>
        <w:widowControl w:val="0"/>
        <w:ind w:left="360" w:right="0" w:firstLine="0"/>
        <w:jc w:val="center"/>
        <w:rPr>
          <w:rFonts w:ascii="Times New Roman" w:hAnsi="Times New Roman" w:cs="Times New Roman"/>
          <w:b/>
          <w:color w:val="000000"/>
          <w:sz w:val="24"/>
          <w:szCs w:val="24"/>
        </w:rPr>
      </w:pPr>
    </w:p>
    <w:p w:rsidR="00A07B07" w:rsidRPr="007662D4" w:rsidRDefault="00F758FC" w:rsidP="00F758FC">
      <w:pPr>
        <w:pStyle w:val="text"/>
        <w:widowControl w:val="0"/>
        <w:ind w:left="360" w:righ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Требования к техническим, функциональным характеристикам</w:t>
      </w:r>
    </w:p>
    <w:p w:rsidR="00A07B07" w:rsidRPr="009924A1" w:rsidRDefault="00A07B07" w:rsidP="00A07B07">
      <w:pPr>
        <w:widowControl w:val="0"/>
        <w:suppressAutoHyphens w:val="0"/>
        <w:ind w:firstLine="709"/>
        <w:contextualSpacing/>
        <w:jc w:val="both"/>
        <w:rPr>
          <w:color w:val="000000"/>
          <w:lang w:eastAsia="ru-RU"/>
        </w:rPr>
      </w:pPr>
      <w:bookmarkStart w:id="0" w:name="_GoBack"/>
      <w:bookmarkEnd w:id="0"/>
      <w:proofErr w:type="spellStart"/>
      <w:r w:rsidRPr="009924A1">
        <w:rPr>
          <w:color w:val="000000"/>
          <w:lang w:eastAsia="ru-RU"/>
        </w:rPr>
        <w:t>Ортез</w:t>
      </w:r>
      <w:proofErr w:type="spellEnd"/>
      <w:r w:rsidRPr="009924A1">
        <w:rPr>
          <w:color w:val="000000"/>
          <w:lang w:eastAsia="ru-RU"/>
        </w:rPr>
        <w:t xml:space="preserve">, к которому относятся в том числе корсеты и </w:t>
      </w:r>
      <w:proofErr w:type="spellStart"/>
      <w:r w:rsidRPr="009924A1">
        <w:rPr>
          <w:color w:val="000000"/>
          <w:lang w:eastAsia="ru-RU"/>
        </w:rPr>
        <w:t>реклинаторы</w:t>
      </w:r>
      <w:proofErr w:type="spellEnd"/>
      <w:r w:rsidRPr="009924A1">
        <w:rPr>
          <w:color w:val="000000"/>
          <w:lang w:eastAsia="ru-RU"/>
        </w:rPr>
        <w:t xml:space="preserve"> – ортопедические изделия на различные отделы позвоночника, предназначенные для поддержания позвоночника в определенном – правильном положении, применяемый при заболеваниях, искривлениях и травмах позвоночника. </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Корсеты снижают боль и физическую нагрузку на все части позвоночника, значительно снижают нагрузку на ослабленные или больные позвонки, не дают разрушаться межпозвоночным хрящам.</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Конструкция и материалы корсетов и </w:t>
      </w:r>
      <w:proofErr w:type="spellStart"/>
      <w:r w:rsidRPr="009924A1">
        <w:rPr>
          <w:color w:val="000000"/>
          <w:lang w:eastAsia="ru-RU"/>
        </w:rPr>
        <w:t>реклинаторов</w:t>
      </w:r>
      <w:proofErr w:type="spellEnd"/>
      <w:r w:rsidRPr="009924A1">
        <w:rPr>
          <w:color w:val="000000"/>
          <w:lang w:eastAsia="ru-RU"/>
        </w:rPr>
        <w:t xml:space="preserve"> должны обеспечивать требующуюся фиксацию различных отделов тела человека в приданном положении коррекции.</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Корсеты полужесткой фиксации должны отвечать требованиям Национальных стандартов Российской Федерации ГОСТ Р 57892-2017 «Корсеты ортопедические, </w:t>
      </w:r>
      <w:proofErr w:type="spellStart"/>
      <w:r w:rsidRPr="009924A1">
        <w:rPr>
          <w:color w:val="000000"/>
          <w:lang w:eastAsia="ru-RU"/>
        </w:rPr>
        <w:t>головодержатели</w:t>
      </w:r>
      <w:proofErr w:type="spellEnd"/>
      <w:r w:rsidRPr="009924A1">
        <w:rPr>
          <w:color w:val="000000"/>
          <w:lang w:eastAsia="ru-RU"/>
        </w:rPr>
        <w:t xml:space="preserve">. </w:t>
      </w:r>
      <w:r w:rsidRPr="009924A1">
        <w:rPr>
          <w:color w:val="000000"/>
          <w:lang w:eastAsia="ru-RU"/>
        </w:rPr>
        <w:lastRenderedPageBreak/>
        <w:t>Технические требования и методы испытаний», а также ГОСТ Р 51632-2021 «Технические средства реабилитации людей с ограничениями жизнедеятельности. Общие технические требования и методы испытаний».</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Корсеты и </w:t>
      </w:r>
      <w:proofErr w:type="spellStart"/>
      <w:r w:rsidRPr="009924A1">
        <w:rPr>
          <w:color w:val="000000"/>
          <w:lang w:eastAsia="ru-RU"/>
        </w:rPr>
        <w:t>реклинаторы</w:t>
      </w:r>
      <w:proofErr w:type="spellEnd"/>
      <w:r w:rsidRPr="009924A1">
        <w:rPr>
          <w:color w:val="000000"/>
          <w:lang w:eastAsia="ru-RU"/>
        </w:rPr>
        <w:t xml:space="preserve"> в части основных терминов и понятий должны соответствовать требованиям национального стандарта Российской Федерации ГОСТ Р 58268-2021 «</w:t>
      </w:r>
      <w:proofErr w:type="spellStart"/>
      <w:r w:rsidRPr="009924A1">
        <w:rPr>
          <w:color w:val="000000"/>
          <w:lang w:eastAsia="ru-RU"/>
        </w:rPr>
        <w:t>Ортезы</w:t>
      </w:r>
      <w:proofErr w:type="spellEnd"/>
      <w:r w:rsidRPr="009924A1">
        <w:rPr>
          <w:color w:val="000000"/>
          <w:lang w:eastAsia="ru-RU"/>
        </w:rPr>
        <w:t xml:space="preserve"> и другие средства наружной поддержки тела. Термины и определения. Классификация».</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Все материалы, применяемые для изготовления </w:t>
      </w:r>
      <w:proofErr w:type="spellStart"/>
      <w:r w:rsidRPr="009924A1">
        <w:rPr>
          <w:color w:val="000000"/>
          <w:lang w:eastAsia="ru-RU"/>
        </w:rPr>
        <w:t>ортезов</w:t>
      </w:r>
      <w:proofErr w:type="spellEnd"/>
      <w:r w:rsidRPr="009924A1">
        <w:rPr>
          <w:color w:val="000000"/>
          <w:lang w:eastAsia="ru-RU"/>
        </w:rPr>
        <w:t xml:space="preserve"> и контактирующие с телом пользователя, должны быть изготовлены из материалов, соответствующих требованиям биологической безопасности по ГОСТ ISO 10993-1-2021.</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Упаковка </w:t>
      </w:r>
      <w:proofErr w:type="spellStart"/>
      <w:r w:rsidRPr="009924A1">
        <w:rPr>
          <w:color w:val="000000"/>
          <w:lang w:eastAsia="ru-RU"/>
        </w:rPr>
        <w:t>ортезов</w:t>
      </w:r>
      <w:proofErr w:type="spellEnd"/>
      <w:r w:rsidRPr="009924A1">
        <w:rPr>
          <w:color w:val="000000"/>
          <w:lang w:eastAsia="ru-RU"/>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Выполнение работ по </w:t>
      </w:r>
      <w:proofErr w:type="spellStart"/>
      <w:r w:rsidRPr="009924A1">
        <w:rPr>
          <w:color w:val="000000"/>
          <w:lang w:eastAsia="ru-RU"/>
        </w:rPr>
        <w:t>ортезированию</w:t>
      </w:r>
      <w:proofErr w:type="spellEnd"/>
      <w:r w:rsidRPr="009924A1">
        <w:rPr>
          <w:color w:val="000000"/>
          <w:lang w:eastAsia="ru-RU"/>
        </w:rPr>
        <w:t xml:space="preserve"> должно соответствовать назначениям медико-социальной экспертизы, а также врача. При выполнении работ по </w:t>
      </w:r>
      <w:proofErr w:type="spellStart"/>
      <w:r w:rsidRPr="009924A1">
        <w:rPr>
          <w:color w:val="000000"/>
          <w:lang w:eastAsia="ru-RU"/>
        </w:rPr>
        <w:t>ортезированию</w:t>
      </w:r>
      <w:proofErr w:type="spellEnd"/>
      <w:r w:rsidRPr="009924A1">
        <w:rPr>
          <w:color w:val="000000"/>
          <w:lang w:eastAsia="ru-RU"/>
        </w:rPr>
        <w:t xml:space="preserve"> должен быть осуществлен контроль при примерке и обеспечении получателей </w:t>
      </w:r>
      <w:proofErr w:type="spellStart"/>
      <w:r w:rsidRPr="009924A1">
        <w:rPr>
          <w:color w:val="000000"/>
          <w:lang w:eastAsia="ru-RU"/>
        </w:rPr>
        <w:t>ортезами</w:t>
      </w:r>
      <w:proofErr w:type="spellEnd"/>
      <w:r w:rsidRPr="009924A1">
        <w:rPr>
          <w:color w:val="000000"/>
          <w:lang w:eastAsia="ru-RU"/>
        </w:rPr>
        <w:t>. Получатели при ношении не должны испытывать болей, избыточного давления, обуславливающих нарушения кровообращения.</w:t>
      </w:r>
    </w:p>
    <w:p w:rsidR="00A07B07" w:rsidRPr="009924A1" w:rsidRDefault="00A07B07" w:rsidP="00A07B07">
      <w:pPr>
        <w:widowControl w:val="0"/>
        <w:suppressAutoHyphens w:val="0"/>
        <w:ind w:firstLine="709"/>
        <w:contextualSpacing/>
        <w:jc w:val="both"/>
      </w:pPr>
      <w:r w:rsidRPr="009924A1">
        <w:rPr>
          <w:color w:val="000000"/>
          <w:lang w:eastAsia="ru-RU"/>
        </w:rPr>
        <w:t xml:space="preserve">Работы по обеспечению получателей </w:t>
      </w:r>
      <w:proofErr w:type="spellStart"/>
      <w:r w:rsidRPr="009924A1">
        <w:rPr>
          <w:color w:val="000000"/>
          <w:lang w:eastAsia="ru-RU"/>
        </w:rPr>
        <w:t>ортезами</w:t>
      </w:r>
      <w:proofErr w:type="spellEnd"/>
      <w:r w:rsidRPr="009924A1">
        <w:rPr>
          <w:color w:val="000000"/>
          <w:lang w:eastAsia="ru-RU"/>
        </w:rPr>
        <w:t xml:space="preserve"> должны быть выполнены с надлежащим качеством и в установленные сроки.</w:t>
      </w:r>
    </w:p>
    <w:p w:rsidR="00A07B07" w:rsidRPr="009924A1" w:rsidRDefault="00A07B07" w:rsidP="00A07B07">
      <w:pPr>
        <w:widowControl w:val="0"/>
        <w:suppressAutoHyphens w:val="0"/>
        <w:ind w:firstLine="709"/>
        <w:jc w:val="both"/>
        <w:rPr>
          <w:spacing w:val="-2"/>
        </w:rPr>
      </w:pPr>
      <w:r w:rsidRPr="009924A1">
        <w:rPr>
          <w:spacing w:val="-2"/>
        </w:rPr>
        <w:t xml:space="preserve"> </w:t>
      </w:r>
    </w:p>
    <w:p w:rsidR="00A07B07" w:rsidRPr="00A07B07" w:rsidRDefault="00A07B07" w:rsidP="00A07B07">
      <w:pPr>
        <w:widowControl w:val="0"/>
        <w:suppressAutoHyphens w:val="0"/>
        <w:ind w:firstLine="709"/>
        <w:contextualSpacing/>
        <w:jc w:val="center"/>
        <w:rPr>
          <w:b/>
          <w:sz w:val="22"/>
          <w:szCs w:val="22"/>
        </w:rPr>
      </w:pPr>
      <w:r w:rsidRPr="009924A1">
        <w:rPr>
          <w:b/>
          <w:sz w:val="22"/>
          <w:szCs w:val="22"/>
        </w:rPr>
        <w:t>Гарантийные обязательства</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Исполнитель должен гарантировать,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Срок предоставления гарантии качества на выполненные работы устанавливается с даты подписания Акта о приемке работ Получателем и должен составлять 6 (шесть) месяцев.</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Срок службы на корсеты и </w:t>
      </w:r>
      <w:proofErr w:type="spellStart"/>
      <w:r w:rsidRPr="009924A1">
        <w:rPr>
          <w:color w:val="000000"/>
          <w:lang w:eastAsia="ru-RU"/>
        </w:rPr>
        <w:t>реклинаторы</w:t>
      </w:r>
      <w:proofErr w:type="spellEnd"/>
      <w:r w:rsidRPr="009924A1">
        <w:rPr>
          <w:color w:val="000000"/>
          <w:lang w:eastAsia="ru-RU"/>
        </w:rPr>
        <w:t xml:space="preserve"> устанавливается с даты подписания Акта о приемке работ Получателем и должен составлять не менее 6 (шести) месяцев.</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В случае обнаружения в протезно-ортопедическом изделии недостатка в период гарантийного срока удовлетворить требование Получателя по его ремонту в течение 15 рабочих дней со дня обращения Получателя к Исполнителю либо заменить его в течение 15 рабочих дней с даты его обращения на аналогичное протезно-ортопедическое изделие надлежащего качества, а при необходимости дополнительной проверки качества такого протезно-ортопедическое изделия – в течение 20 рабочих дней со дня предъявления одного из указанных требований. </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Если протезно-ортопедическое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A07B07" w:rsidRPr="00A07B07" w:rsidRDefault="00A07B07" w:rsidP="00A07B07">
      <w:pPr>
        <w:widowControl w:val="0"/>
        <w:suppressAutoHyphens w:val="0"/>
        <w:ind w:firstLine="709"/>
        <w:contextualSpacing/>
        <w:jc w:val="both"/>
        <w:rPr>
          <w:color w:val="000000"/>
          <w:lang w:eastAsia="ru-RU"/>
        </w:rPr>
      </w:pPr>
      <w:r w:rsidRPr="009924A1">
        <w:rPr>
          <w:color w:val="000000"/>
          <w:lang w:eastAsia="ru-RU"/>
        </w:rPr>
        <w:t>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ТCР.</w:t>
      </w:r>
    </w:p>
    <w:p w:rsidR="00A07B07" w:rsidRPr="009924A1" w:rsidRDefault="00A07B07" w:rsidP="00A07B07">
      <w:pPr>
        <w:widowControl w:val="0"/>
        <w:suppressAutoHyphens w:val="0"/>
        <w:ind w:firstLine="709"/>
        <w:contextualSpacing/>
        <w:jc w:val="both"/>
        <w:rPr>
          <w:color w:val="000000"/>
          <w:lang w:eastAsia="ru-RU"/>
        </w:rPr>
      </w:pPr>
      <w:r w:rsidRPr="00281494">
        <w:rPr>
          <w:b/>
          <w:spacing w:val="-2"/>
        </w:rPr>
        <w:t xml:space="preserve">     </w:t>
      </w:r>
      <w:r w:rsidRPr="00A07B07">
        <w:rPr>
          <w:b/>
          <w:color w:val="000000"/>
          <w:lang w:eastAsia="ru-RU"/>
        </w:rPr>
        <w:t>Место и условия выполнения работ:</w:t>
      </w:r>
      <w:r w:rsidRPr="009924A1">
        <w:rPr>
          <w:color w:val="000000"/>
          <w:lang w:eastAsia="ru-RU"/>
        </w:rPr>
        <w:t xml:space="preserve"> г. Тула и Тульская область. По месту жительства (месту пребывания, фактического проживания) Получателя, в том числе службой доставки (почтовым отправлением) или по месту нахождения стационарного пункта выдачи изделий, организованного Исполнителем в г. Туле и Тульской области.</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      Оформление индивидуального заказа, примерка и передача протезно-ортопедических изделий </w:t>
      </w:r>
      <w:proofErr w:type="spellStart"/>
      <w:r w:rsidRPr="009924A1">
        <w:rPr>
          <w:color w:val="000000"/>
          <w:lang w:eastAsia="ru-RU"/>
        </w:rPr>
        <w:t>маломобильным</w:t>
      </w:r>
      <w:proofErr w:type="spellEnd"/>
      <w:r w:rsidRPr="009924A1">
        <w:rPr>
          <w:color w:val="000000"/>
          <w:lang w:eastAsia="ru-RU"/>
        </w:rPr>
        <w:t xml:space="preserve"> гражданам осуществляется по месту их жительства (в пределах Тульской области).</w:t>
      </w:r>
    </w:p>
    <w:p w:rsidR="00A07B07" w:rsidRPr="009924A1" w:rsidRDefault="00A07B07" w:rsidP="00A07B07">
      <w:pPr>
        <w:widowControl w:val="0"/>
        <w:suppressAutoHyphens w:val="0"/>
        <w:ind w:firstLine="709"/>
        <w:contextualSpacing/>
        <w:jc w:val="both"/>
        <w:rPr>
          <w:color w:val="000000"/>
          <w:lang w:eastAsia="ru-RU"/>
        </w:rPr>
      </w:pPr>
      <w:r w:rsidRPr="009924A1">
        <w:rPr>
          <w:color w:val="000000"/>
          <w:lang w:eastAsia="ru-RU"/>
        </w:rPr>
        <w:t xml:space="preserve">      Для приёма Получателя или его представителя, и для возможности Заказчиком осуществить проверку поставляемого Товара, на территории г. Тулы и Тульской области Исполнитель должен обеспечить функционирование стационарного пункта выдачи, организованного в соответствии с приказом Министерства труда и социальной защиты </w:t>
      </w:r>
      <w:r w:rsidRPr="009924A1">
        <w:rPr>
          <w:color w:val="000000"/>
          <w:lang w:eastAsia="ru-RU"/>
        </w:rPr>
        <w:lastRenderedPageBreak/>
        <w:t>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07B07" w:rsidRPr="009924A1" w:rsidRDefault="00A07B07" w:rsidP="00A07B07">
      <w:pPr>
        <w:widowControl w:val="0"/>
        <w:suppressAutoHyphens w:val="0"/>
        <w:ind w:firstLine="709"/>
        <w:contextualSpacing/>
        <w:jc w:val="both"/>
        <w:rPr>
          <w:color w:val="000000"/>
          <w:lang w:eastAsia="ru-RU"/>
        </w:rPr>
      </w:pPr>
    </w:p>
    <w:p w:rsidR="00F43ED9" w:rsidRPr="00771FC4" w:rsidRDefault="00F43ED9" w:rsidP="00F758FC">
      <w:pPr>
        <w:pStyle w:val="af4"/>
        <w:keepNext/>
        <w:shd w:val="clear" w:color="auto" w:fill="FFFFFF"/>
        <w:tabs>
          <w:tab w:val="left" w:pos="1387"/>
        </w:tabs>
        <w:ind w:left="0"/>
        <w:jc w:val="both"/>
        <w:rPr>
          <w:color w:val="000000"/>
          <w:spacing w:val="-2"/>
        </w:rPr>
      </w:pPr>
    </w:p>
    <w:sectPr w:rsidR="00F43ED9" w:rsidRPr="00771FC4" w:rsidSect="002F1731">
      <w:pgSz w:w="11906" w:h="16838"/>
      <w:pgMar w:top="709" w:right="70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B07" w:rsidRDefault="00A07B07" w:rsidP="00583C19">
      <w:r>
        <w:separator/>
      </w:r>
    </w:p>
  </w:endnote>
  <w:endnote w:type="continuationSeparator" w:id="1">
    <w:p w:rsidR="00A07B07" w:rsidRDefault="00A07B07" w:rsidP="0058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B07" w:rsidRDefault="00A07B07" w:rsidP="00583C19">
      <w:r>
        <w:separator/>
      </w:r>
    </w:p>
  </w:footnote>
  <w:footnote w:type="continuationSeparator" w:id="1">
    <w:p w:rsidR="00A07B07" w:rsidRDefault="00A07B07" w:rsidP="0058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49F"/>
    <w:rsid w:val="00045E69"/>
    <w:rsid w:val="00052DAA"/>
    <w:rsid w:val="00053E02"/>
    <w:rsid w:val="000604F3"/>
    <w:rsid w:val="00061116"/>
    <w:rsid w:val="00065555"/>
    <w:rsid w:val="00070A46"/>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07867"/>
    <w:rsid w:val="00122AAC"/>
    <w:rsid w:val="00122AB2"/>
    <w:rsid w:val="001347D3"/>
    <w:rsid w:val="00134923"/>
    <w:rsid w:val="00134B55"/>
    <w:rsid w:val="00137D77"/>
    <w:rsid w:val="0015467F"/>
    <w:rsid w:val="00165A21"/>
    <w:rsid w:val="00173444"/>
    <w:rsid w:val="00184859"/>
    <w:rsid w:val="001877B9"/>
    <w:rsid w:val="0019128B"/>
    <w:rsid w:val="001A36ED"/>
    <w:rsid w:val="001A524A"/>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77B0D"/>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DF9"/>
    <w:rsid w:val="00310E02"/>
    <w:rsid w:val="00315286"/>
    <w:rsid w:val="003169AB"/>
    <w:rsid w:val="003300A9"/>
    <w:rsid w:val="0034320C"/>
    <w:rsid w:val="00346B6D"/>
    <w:rsid w:val="003532AD"/>
    <w:rsid w:val="00360660"/>
    <w:rsid w:val="00371615"/>
    <w:rsid w:val="00371DEA"/>
    <w:rsid w:val="0039332E"/>
    <w:rsid w:val="0039429C"/>
    <w:rsid w:val="00396370"/>
    <w:rsid w:val="003A12F5"/>
    <w:rsid w:val="003B6E3F"/>
    <w:rsid w:val="003C14E2"/>
    <w:rsid w:val="003C1A8D"/>
    <w:rsid w:val="003C6EA2"/>
    <w:rsid w:val="003D1B8C"/>
    <w:rsid w:val="003D360D"/>
    <w:rsid w:val="003D3FFD"/>
    <w:rsid w:val="003D423A"/>
    <w:rsid w:val="003F4E39"/>
    <w:rsid w:val="003F722B"/>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A6B49"/>
    <w:rsid w:val="004B0C10"/>
    <w:rsid w:val="004B1D2B"/>
    <w:rsid w:val="004B2DAE"/>
    <w:rsid w:val="004B6FB8"/>
    <w:rsid w:val="004C0F7A"/>
    <w:rsid w:val="004C74A8"/>
    <w:rsid w:val="004D123C"/>
    <w:rsid w:val="004D2828"/>
    <w:rsid w:val="004D299D"/>
    <w:rsid w:val="004D5799"/>
    <w:rsid w:val="004E076E"/>
    <w:rsid w:val="004E0FFB"/>
    <w:rsid w:val="004E1E5D"/>
    <w:rsid w:val="004E669B"/>
    <w:rsid w:val="004F42D5"/>
    <w:rsid w:val="00511216"/>
    <w:rsid w:val="00514539"/>
    <w:rsid w:val="00515797"/>
    <w:rsid w:val="00522CFE"/>
    <w:rsid w:val="005251F6"/>
    <w:rsid w:val="00525548"/>
    <w:rsid w:val="005332DE"/>
    <w:rsid w:val="00534D7B"/>
    <w:rsid w:val="00534F76"/>
    <w:rsid w:val="005360F1"/>
    <w:rsid w:val="00536689"/>
    <w:rsid w:val="00541149"/>
    <w:rsid w:val="00543322"/>
    <w:rsid w:val="00543F27"/>
    <w:rsid w:val="005515DD"/>
    <w:rsid w:val="005535A4"/>
    <w:rsid w:val="00555E66"/>
    <w:rsid w:val="00557C5F"/>
    <w:rsid w:val="00563B2A"/>
    <w:rsid w:val="00572DE4"/>
    <w:rsid w:val="00576EF0"/>
    <w:rsid w:val="00577225"/>
    <w:rsid w:val="00577B95"/>
    <w:rsid w:val="00577C4A"/>
    <w:rsid w:val="00582060"/>
    <w:rsid w:val="00583C19"/>
    <w:rsid w:val="00584A8A"/>
    <w:rsid w:val="00586A3A"/>
    <w:rsid w:val="00594BE0"/>
    <w:rsid w:val="00595893"/>
    <w:rsid w:val="00597097"/>
    <w:rsid w:val="00597704"/>
    <w:rsid w:val="005B579E"/>
    <w:rsid w:val="005B5E05"/>
    <w:rsid w:val="005B70FD"/>
    <w:rsid w:val="005B711C"/>
    <w:rsid w:val="005B7513"/>
    <w:rsid w:val="005D0452"/>
    <w:rsid w:val="005D6447"/>
    <w:rsid w:val="005D6FC4"/>
    <w:rsid w:val="005E0D43"/>
    <w:rsid w:val="005F2BC1"/>
    <w:rsid w:val="005F5A1D"/>
    <w:rsid w:val="005F5D4D"/>
    <w:rsid w:val="005F7FB6"/>
    <w:rsid w:val="00602D12"/>
    <w:rsid w:val="00602D13"/>
    <w:rsid w:val="00604712"/>
    <w:rsid w:val="00615B3F"/>
    <w:rsid w:val="006175B4"/>
    <w:rsid w:val="00621F42"/>
    <w:rsid w:val="00622F04"/>
    <w:rsid w:val="0062487D"/>
    <w:rsid w:val="00627E53"/>
    <w:rsid w:val="0063113B"/>
    <w:rsid w:val="00641BF6"/>
    <w:rsid w:val="00644017"/>
    <w:rsid w:val="00644DE6"/>
    <w:rsid w:val="0064635F"/>
    <w:rsid w:val="00646AF1"/>
    <w:rsid w:val="00655BB3"/>
    <w:rsid w:val="00662E35"/>
    <w:rsid w:val="00663D52"/>
    <w:rsid w:val="0067327C"/>
    <w:rsid w:val="006769CE"/>
    <w:rsid w:val="006778B6"/>
    <w:rsid w:val="006836C7"/>
    <w:rsid w:val="00684260"/>
    <w:rsid w:val="00687307"/>
    <w:rsid w:val="00695CC1"/>
    <w:rsid w:val="006967DE"/>
    <w:rsid w:val="006A5B51"/>
    <w:rsid w:val="006A6778"/>
    <w:rsid w:val="006B3650"/>
    <w:rsid w:val="006C0F59"/>
    <w:rsid w:val="006D25EE"/>
    <w:rsid w:val="006D2E26"/>
    <w:rsid w:val="006D795D"/>
    <w:rsid w:val="006E0005"/>
    <w:rsid w:val="006E6400"/>
    <w:rsid w:val="006F2BB8"/>
    <w:rsid w:val="006F4057"/>
    <w:rsid w:val="007001EA"/>
    <w:rsid w:val="00700801"/>
    <w:rsid w:val="00701EEB"/>
    <w:rsid w:val="00703C66"/>
    <w:rsid w:val="0070513D"/>
    <w:rsid w:val="0071239B"/>
    <w:rsid w:val="0071257E"/>
    <w:rsid w:val="007149EF"/>
    <w:rsid w:val="00717BA1"/>
    <w:rsid w:val="00732374"/>
    <w:rsid w:val="00732A6D"/>
    <w:rsid w:val="0073312B"/>
    <w:rsid w:val="00734DAC"/>
    <w:rsid w:val="007400EA"/>
    <w:rsid w:val="00741AC4"/>
    <w:rsid w:val="00741B4D"/>
    <w:rsid w:val="007429FC"/>
    <w:rsid w:val="007435A0"/>
    <w:rsid w:val="00747688"/>
    <w:rsid w:val="0075016D"/>
    <w:rsid w:val="00751BED"/>
    <w:rsid w:val="00752C6E"/>
    <w:rsid w:val="00760A82"/>
    <w:rsid w:val="00761569"/>
    <w:rsid w:val="00765CBC"/>
    <w:rsid w:val="00771FC4"/>
    <w:rsid w:val="00774931"/>
    <w:rsid w:val="00775BB7"/>
    <w:rsid w:val="00777B78"/>
    <w:rsid w:val="00780F4A"/>
    <w:rsid w:val="00781A97"/>
    <w:rsid w:val="007837EE"/>
    <w:rsid w:val="00784852"/>
    <w:rsid w:val="00794395"/>
    <w:rsid w:val="0079596A"/>
    <w:rsid w:val="007967F3"/>
    <w:rsid w:val="007A7774"/>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6794"/>
    <w:rsid w:val="008678B3"/>
    <w:rsid w:val="00875104"/>
    <w:rsid w:val="00876D51"/>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1E6D"/>
    <w:rsid w:val="009169E1"/>
    <w:rsid w:val="00920A0F"/>
    <w:rsid w:val="009213BF"/>
    <w:rsid w:val="00922323"/>
    <w:rsid w:val="0092346C"/>
    <w:rsid w:val="00933FCE"/>
    <w:rsid w:val="00936837"/>
    <w:rsid w:val="00936E71"/>
    <w:rsid w:val="00940037"/>
    <w:rsid w:val="0094143B"/>
    <w:rsid w:val="00941583"/>
    <w:rsid w:val="009426B6"/>
    <w:rsid w:val="00943297"/>
    <w:rsid w:val="009442E0"/>
    <w:rsid w:val="00947EA8"/>
    <w:rsid w:val="0096023B"/>
    <w:rsid w:val="009624AE"/>
    <w:rsid w:val="00966064"/>
    <w:rsid w:val="0097316E"/>
    <w:rsid w:val="00980D64"/>
    <w:rsid w:val="00980EDF"/>
    <w:rsid w:val="00982EDE"/>
    <w:rsid w:val="00985084"/>
    <w:rsid w:val="00985916"/>
    <w:rsid w:val="00987E07"/>
    <w:rsid w:val="00991FD4"/>
    <w:rsid w:val="00992F0E"/>
    <w:rsid w:val="009A16FF"/>
    <w:rsid w:val="009A439D"/>
    <w:rsid w:val="009A528F"/>
    <w:rsid w:val="009A655C"/>
    <w:rsid w:val="009A748C"/>
    <w:rsid w:val="009B05F4"/>
    <w:rsid w:val="009B0764"/>
    <w:rsid w:val="009B0B91"/>
    <w:rsid w:val="009B27BE"/>
    <w:rsid w:val="009B2B77"/>
    <w:rsid w:val="009C11E7"/>
    <w:rsid w:val="009C593E"/>
    <w:rsid w:val="009C6054"/>
    <w:rsid w:val="009D5665"/>
    <w:rsid w:val="009E0FEC"/>
    <w:rsid w:val="009E2691"/>
    <w:rsid w:val="009E2D2B"/>
    <w:rsid w:val="009E4DD0"/>
    <w:rsid w:val="009F2E0D"/>
    <w:rsid w:val="009F44BE"/>
    <w:rsid w:val="00A05A9B"/>
    <w:rsid w:val="00A07B07"/>
    <w:rsid w:val="00A16E1A"/>
    <w:rsid w:val="00A225BC"/>
    <w:rsid w:val="00A22BA9"/>
    <w:rsid w:val="00A2455C"/>
    <w:rsid w:val="00A35489"/>
    <w:rsid w:val="00A40AEA"/>
    <w:rsid w:val="00A430C3"/>
    <w:rsid w:val="00A43871"/>
    <w:rsid w:val="00A44046"/>
    <w:rsid w:val="00A4525D"/>
    <w:rsid w:val="00A53A9F"/>
    <w:rsid w:val="00A63CB4"/>
    <w:rsid w:val="00A65401"/>
    <w:rsid w:val="00A70E49"/>
    <w:rsid w:val="00A71F5E"/>
    <w:rsid w:val="00A742E9"/>
    <w:rsid w:val="00A757BF"/>
    <w:rsid w:val="00A77F2C"/>
    <w:rsid w:val="00A82D3D"/>
    <w:rsid w:val="00A83AFF"/>
    <w:rsid w:val="00A9616F"/>
    <w:rsid w:val="00A97697"/>
    <w:rsid w:val="00AA1ADE"/>
    <w:rsid w:val="00AA60CB"/>
    <w:rsid w:val="00AA6E71"/>
    <w:rsid w:val="00AB000D"/>
    <w:rsid w:val="00AB0EDE"/>
    <w:rsid w:val="00AB3E17"/>
    <w:rsid w:val="00AB3E96"/>
    <w:rsid w:val="00AB719B"/>
    <w:rsid w:val="00AC0877"/>
    <w:rsid w:val="00AC41B9"/>
    <w:rsid w:val="00AC6313"/>
    <w:rsid w:val="00AD23ED"/>
    <w:rsid w:val="00AE33FA"/>
    <w:rsid w:val="00AE4938"/>
    <w:rsid w:val="00AE672E"/>
    <w:rsid w:val="00B04A97"/>
    <w:rsid w:val="00B15A85"/>
    <w:rsid w:val="00B2527A"/>
    <w:rsid w:val="00B26878"/>
    <w:rsid w:val="00B369FD"/>
    <w:rsid w:val="00B431CC"/>
    <w:rsid w:val="00B6479F"/>
    <w:rsid w:val="00B65942"/>
    <w:rsid w:val="00B665EF"/>
    <w:rsid w:val="00B709F5"/>
    <w:rsid w:val="00B7335D"/>
    <w:rsid w:val="00B8745B"/>
    <w:rsid w:val="00B951F5"/>
    <w:rsid w:val="00BA01C2"/>
    <w:rsid w:val="00BA153A"/>
    <w:rsid w:val="00BA271D"/>
    <w:rsid w:val="00BA28E9"/>
    <w:rsid w:val="00BA47E1"/>
    <w:rsid w:val="00BB788C"/>
    <w:rsid w:val="00BC0805"/>
    <w:rsid w:val="00BC1E33"/>
    <w:rsid w:val="00BC3A71"/>
    <w:rsid w:val="00BD3B10"/>
    <w:rsid w:val="00C06BF2"/>
    <w:rsid w:val="00C074C8"/>
    <w:rsid w:val="00C07948"/>
    <w:rsid w:val="00C128A1"/>
    <w:rsid w:val="00C217DA"/>
    <w:rsid w:val="00C22D8C"/>
    <w:rsid w:val="00C25EE8"/>
    <w:rsid w:val="00C44353"/>
    <w:rsid w:val="00C47046"/>
    <w:rsid w:val="00C53B45"/>
    <w:rsid w:val="00C6150F"/>
    <w:rsid w:val="00C65D8B"/>
    <w:rsid w:val="00C722E4"/>
    <w:rsid w:val="00C76F7B"/>
    <w:rsid w:val="00C818A1"/>
    <w:rsid w:val="00C85191"/>
    <w:rsid w:val="00C85EE9"/>
    <w:rsid w:val="00C917CB"/>
    <w:rsid w:val="00C9403D"/>
    <w:rsid w:val="00C95C59"/>
    <w:rsid w:val="00CA7205"/>
    <w:rsid w:val="00CB43F0"/>
    <w:rsid w:val="00CC25AF"/>
    <w:rsid w:val="00CC3EE2"/>
    <w:rsid w:val="00CC7C5A"/>
    <w:rsid w:val="00CD1660"/>
    <w:rsid w:val="00CD2C8A"/>
    <w:rsid w:val="00CD3851"/>
    <w:rsid w:val="00CD4BE0"/>
    <w:rsid w:val="00CD4FB7"/>
    <w:rsid w:val="00CD5474"/>
    <w:rsid w:val="00CD5736"/>
    <w:rsid w:val="00CE4A57"/>
    <w:rsid w:val="00CF24F6"/>
    <w:rsid w:val="00CF695D"/>
    <w:rsid w:val="00D03092"/>
    <w:rsid w:val="00D04A09"/>
    <w:rsid w:val="00D066B4"/>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04B1"/>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51966"/>
    <w:rsid w:val="00E7126B"/>
    <w:rsid w:val="00E72F34"/>
    <w:rsid w:val="00E760F2"/>
    <w:rsid w:val="00E80082"/>
    <w:rsid w:val="00E86C0F"/>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0F1F"/>
    <w:rsid w:val="00EF190D"/>
    <w:rsid w:val="00EF6A8C"/>
    <w:rsid w:val="00F02926"/>
    <w:rsid w:val="00F06E8E"/>
    <w:rsid w:val="00F11EA0"/>
    <w:rsid w:val="00F13E83"/>
    <w:rsid w:val="00F20E2E"/>
    <w:rsid w:val="00F21D3E"/>
    <w:rsid w:val="00F22BCA"/>
    <w:rsid w:val="00F26432"/>
    <w:rsid w:val="00F41A5A"/>
    <w:rsid w:val="00F424BC"/>
    <w:rsid w:val="00F428F0"/>
    <w:rsid w:val="00F4398C"/>
    <w:rsid w:val="00F43ED9"/>
    <w:rsid w:val="00F47C0C"/>
    <w:rsid w:val="00F5021B"/>
    <w:rsid w:val="00F72192"/>
    <w:rsid w:val="00F758FC"/>
    <w:rsid w:val="00F812D3"/>
    <w:rsid w:val="00F8425D"/>
    <w:rsid w:val="00F857D8"/>
    <w:rsid w:val="00F90574"/>
    <w:rsid w:val="00F97DEF"/>
    <w:rsid w:val="00FA376E"/>
    <w:rsid w:val="00FA4FD2"/>
    <w:rsid w:val="00FA56FA"/>
    <w:rsid w:val="00FA578D"/>
    <w:rsid w:val="00FA6426"/>
    <w:rsid w:val="00FA6490"/>
    <w:rsid w:val="00FB127A"/>
    <w:rsid w:val="00FB13E3"/>
    <w:rsid w:val="00FB3D47"/>
    <w:rsid w:val="00FB5C90"/>
    <w:rsid w:val="00FC13FD"/>
    <w:rsid w:val="00FC399E"/>
    <w:rsid w:val="00FC4484"/>
    <w:rsid w:val="00FD0674"/>
    <w:rsid w:val="00FD0797"/>
    <w:rsid w:val="00FD3B8B"/>
    <w:rsid w:val="00FD4143"/>
    <w:rsid w:val="00FD67DD"/>
    <w:rsid w:val="00FE334A"/>
    <w:rsid w:val="00FE35BA"/>
    <w:rsid w:val="00FE6450"/>
    <w:rsid w:val="00FF2AED"/>
    <w:rsid w:val="00FF7943"/>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qFormat/>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Standard">
    <w:name w:val="Standard"/>
    <w:rsid w:val="00621F42"/>
    <w:pPr>
      <w:widowControl w:val="0"/>
      <w:suppressAutoHyphens/>
      <w:autoSpaceDE w:val="0"/>
      <w:autoSpaceDN w:val="0"/>
      <w:textAlignment w:val="baseline"/>
    </w:pPr>
    <w:rPr>
      <w:kern w:val="3"/>
      <w:lang w:eastAsia="zh-CN"/>
    </w:rPr>
  </w:style>
  <w:style w:type="character" w:customStyle="1" w:styleId="organization">
    <w:name w:val="organization"/>
    <w:rsid w:val="00307DF9"/>
  </w:style>
  <w:style w:type="paragraph" w:customStyle="1" w:styleId="16">
    <w:name w:val="Абзац списка1"/>
    <w:basedOn w:val="a"/>
    <w:qFormat/>
    <w:rsid w:val="00F758FC"/>
    <w:pPr>
      <w:ind w:left="720"/>
    </w:pPr>
    <w:rPr>
      <w:kern w:val="1"/>
    </w:rPr>
  </w:style>
  <w:style w:type="paragraph" w:customStyle="1" w:styleId="text">
    <w:name w:val="text"/>
    <w:basedOn w:val="a"/>
    <w:rsid w:val="00F758FC"/>
    <w:pPr>
      <w:suppressAutoHyphens w:val="0"/>
      <w:ind w:left="120" w:right="120" w:firstLine="150"/>
    </w:pPr>
    <w:rPr>
      <w:rFonts w:ascii="Tahoma" w:hAnsi="Tahoma" w:cs="Tahoma"/>
      <w:sz w:val="18"/>
      <w:szCs w:val="18"/>
      <w:lang w:eastAsia="ru-RU"/>
    </w:rPr>
  </w:style>
  <w:style w:type="paragraph" w:customStyle="1" w:styleId="17">
    <w:name w:val="Обычный1"/>
    <w:rsid w:val="00A07B07"/>
    <w:pPr>
      <w:widowControl w:val="0"/>
      <w:suppressAutoHyphens/>
      <w:spacing w:line="100" w:lineRule="atLeast"/>
      <w:textAlignment w:val="baseline"/>
    </w:pPr>
    <w:rPr>
      <w:rFonts w:ascii="Arial" w:eastAsia="Arial Unicode MS" w:hAnsi="Arial" w:cs="Tahoma"/>
      <w:kern w:val="1"/>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Standard">
    <w:name w:val="Standard"/>
    <w:rsid w:val="00621F42"/>
    <w:pPr>
      <w:widowControl w:val="0"/>
      <w:suppressAutoHyphens/>
      <w:autoSpaceDE w:val="0"/>
      <w:autoSpaceDN w:val="0"/>
      <w:textAlignment w:val="baseline"/>
    </w:pPr>
    <w:rPr>
      <w:kern w:val="3"/>
      <w:lang w:eastAsia="zh-CN"/>
    </w:rPr>
  </w:style>
  <w:style w:type="character" w:customStyle="1" w:styleId="organization">
    <w:name w:val="organization"/>
    <w:rsid w:val="00307DF9"/>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25.3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888BD-774A-4C9A-A127-EAE92A3B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7289</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27</cp:revision>
  <cp:lastPrinted>2023-03-15T07:03:00Z</cp:lastPrinted>
  <dcterms:created xsi:type="dcterms:W3CDTF">2024-05-06T12:31:00Z</dcterms:created>
  <dcterms:modified xsi:type="dcterms:W3CDTF">2024-11-22T12:25:00Z</dcterms:modified>
</cp:coreProperties>
</file>