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03" w:rsidRPr="00FA0B25" w:rsidRDefault="005E3203" w:rsidP="005E3203">
      <w:pPr>
        <w:widowControl w:val="0"/>
        <w:jc w:val="center"/>
        <w:rPr>
          <w:b/>
          <w:bCs/>
          <w:sz w:val="22"/>
          <w:szCs w:val="22"/>
        </w:rPr>
      </w:pPr>
      <w:r w:rsidRPr="00AB43A4">
        <w:rPr>
          <w:b/>
          <w:sz w:val="22"/>
          <w:szCs w:val="22"/>
          <w:lang w:eastAsia="ar-SA"/>
        </w:rPr>
        <w:t xml:space="preserve">Описание объекта закупки </w:t>
      </w:r>
      <w:r w:rsidRPr="00AB43A4">
        <w:rPr>
          <w:b/>
          <w:color w:val="000000"/>
          <w:sz w:val="22"/>
          <w:szCs w:val="22"/>
          <w:shd w:val="clear" w:color="auto" w:fill="FFFFFF"/>
        </w:rPr>
        <w:t xml:space="preserve">на </w:t>
      </w:r>
      <w:r w:rsidRPr="00AB43A4">
        <w:rPr>
          <w:b/>
          <w:color w:val="000000"/>
          <w:sz w:val="22"/>
          <w:szCs w:val="22"/>
        </w:rPr>
        <w:t>выполнение работ</w:t>
      </w:r>
      <w:r w:rsidRPr="00AB43A4">
        <w:rPr>
          <w:b/>
          <w:sz w:val="22"/>
          <w:szCs w:val="22"/>
        </w:rPr>
        <w:t xml:space="preserve"> </w:t>
      </w:r>
      <w:r w:rsidRPr="00AB43A4">
        <w:rPr>
          <w:b/>
          <w:bCs/>
          <w:sz w:val="22"/>
          <w:szCs w:val="22"/>
        </w:rPr>
        <w:t xml:space="preserve">по изготовлению </w:t>
      </w:r>
      <w:r w:rsidRPr="00AB43A4">
        <w:rPr>
          <w:b/>
          <w:noProof/>
          <w:sz w:val="22"/>
          <w:szCs w:val="22"/>
        </w:rPr>
        <w:t>протезов нижних конечностей для</w:t>
      </w:r>
      <w:r w:rsidRPr="00AB43A4">
        <w:rPr>
          <w:b/>
          <w:bCs/>
          <w:sz w:val="22"/>
          <w:szCs w:val="22"/>
        </w:rPr>
        <w:t xml:space="preserve"> Получателей в 2024 году</w:t>
      </w:r>
    </w:p>
    <w:p w:rsidR="005E3203" w:rsidRPr="00FA0B25" w:rsidRDefault="005E3203" w:rsidP="005E3203">
      <w:pPr>
        <w:widowControl w:val="0"/>
        <w:jc w:val="center"/>
        <w:rPr>
          <w:b/>
          <w:bCs/>
          <w:sz w:val="22"/>
          <w:szCs w:val="22"/>
        </w:rPr>
      </w:pPr>
    </w:p>
    <w:tbl>
      <w:tblPr>
        <w:tblW w:w="9981" w:type="dxa"/>
        <w:tblCellSpacing w:w="0" w:type="dxa"/>
        <w:tblInd w:w="93" w:type="dxa"/>
        <w:tblLook w:val="04A0"/>
      </w:tblPr>
      <w:tblGrid>
        <w:gridCol w:w="561"/>
        <w:gridCol w:w="3299"/>
        <w:gridCol w:w="5565"/>
        <w:gridCol w:w="556"/>
      </w:tblGrid>
      <w:tr w:rsidR="005E3203" w:rsidRPr="005024DE" w:rsidTr="00D966F4">
        <w:trPr>
          <w:trHeight w:val="521"/>
          <w:tblCellSpacing w:w="0" w:type="dxa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203" w:rsidRPr="005024DE" w:rsidRDefault="005E3203" w:rsidP="00D966F4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5024DE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024DE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203" w:rsidRPr="005024DE" w:rsidRDefault="005E3203" w:rsidP="00D966F4">
            <w:pPr>
              <w:widowControl w:val="0"/>
              <w:jc w:val="center"/>
              <w:rPr>
                <w:b/>
                <w:bCs/>
              </w:rPr>
            </w:pPr>
            <w:r w:rsidRPr="005024DE">
              <w:rPr>
                <w:b/>
                <w:bCs/>
                <w:sz w:val="22"/>
                <w:szCs w:val="22"/>
              </w:rPr>
              <w:t>Наименование изделия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203" w:rsidRPr="005024DE" w:rsidRDefault="005E3203" w:rsidP="00D966F4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5024DE">
              <w:rPr>
                <w:b/>
                <w:bCs/>
                <w:sz w:val="22"/>
                <w:szCs w:val="22"/>
                <w:lang w:eastAsia="ar-SA"/>
              </w:rPr>
              <w:t>Описание функциональных и технических характеристик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3203" w:rsidRPr="005024DE" w:rsidRDefault="005E3203" w:rsidP="00D966F4">
            <w:pPr>
              <w:widowControl w:val="0"/>
              <w:jc w:val="center"/>
              <w:rPr>
                <w:b/>
                <w:bCs/>
              </w:rPr>
            </w:pPr>
            <w:r w:rsidRPr="005024DE">
              <w:rPr>
                <w:b/>
                <w:bCs/>
                <w:sz w:val="22"/>
                <w:szCs w:val="22"/>
              </w:rPr>
              <w:t>Кол-во</w:t>
            </w:r>
          </w:p>
          <w:p w:rsidR="005E3203" w:rsidRPr="005024DE" w:rsidRDefault="005E3203" w:rsidP="00D966F4">
            <w:pPr>
              <w:widowControl w:val="0"/>
              <w:jc w:val="center"/>
              <w:rPr>
                <w:b/>
                <w:bCs/>
              </w:rPr>
            </w:pPr>
            <w:r w:rsidRPr="005024DE">
              <w:rPr>
                <w:b/>
                <w:bCs/>
                <w:sz w:val="22"/>
                <w:szCs w:val="22"/>
              </w:rPr>
              <w:t>(шт.)</w:t>
            </w:r>
          </w:p>
        </w:tc>
      </w:tr>
      <w:tr w:rsidR="005E3203" w:rsidRPr="005024DE" w:rsidTr="00D966F4">
        <w:trPr>
          <w:trHeight w:val="679"/>
          <w:tblCellSpacing w:w="0" w:type="dxa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203" w:rsidRPr="005024DE" w:rsidRDefault="005E3203" w:rsidP="00D966F4">
            <w:pPr>
              <w:widowControl w:val="0"/>
              <w:jc w:val="center"/>
              <w:rPr>
                <w:noProof/>
                <w:sz w:val="20"/>
              </w:rPr>
            </w:pPr>
            <w:r w:rsidRPr="005024DE">
              <w:rPr>
                <w:noProof/>
                <w:sz w:val="20"/>
              </w:rPr>
              <w:t>1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3203" w:rsidRPr="005024DE" w:rsidRDefault="005E3203" w:rsidP="00D966F4">
            <w:pPr>
              <w:widowControl w:val="0"/>
              <w:jc w:val="center"/>
              <w:rPr>
                <w:noProof/>
                <w:sz w:val="20"/>
              </w:rPr>
            </w:pPr>
            <w:r w:rsidRPr="005024DE">
              <w:rPr>
                <w:noProof/>
                <w:sz w:val="20"/>
              </w:rPr>
              <w:t>Протез бедра для купания</w:t>
            </w:r>
          </w:p>
          <w:p w:rsidR="005E3203" w:rsidRPr="005024DE" w:rsidRDefault="005E3203" w:rsidP="00D966F4">
            <w:pPr>
              <w:widowControl w:val="0"/>
              <w:jc w:val="center"/>
              <w:rPr>
                <w:noProof/>
                <w:color w:val="FFFFFF"/>
              </w:rPr>
            </w:pPr>
            <w:r w:rsidRPr="005E3203">
              <w:rPr>
                <w:noProof/>
                <w:color w:val="FFFFFF" w:themeColor="background1"/>
                <w:sz w:val="20"/>
              </w:rPr>
              <w:t>СЕЧИ</w:t>
            </w:r>
            <w:bookmarkStart w:id="0" w:name="_GoBack"/>
            <w:bookmarkEnd w:id="0"/>
            <w:r w:rsidRPr="005E3203">
              <w:rPr>
                <w:noProof/>
                <w:color w:val="FFFFFF" w:themeColor="background1"/>
                <w:sz w:val="20"/>
              </w:rPr>
              <w:t>Н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203" w:rsidRPr="005024DE" w:rsidRDefault="005E3203" w:rsidP="00D966F4">
            <w:pPr>
              <w:suppressAutoHyphens/>
              <w:rPr>
                <w:noProof/>
                <w:sz w:val="20"/>
                <w:szCs w:val="20"/>
              </w:rPr>
            </w:pPr>
            <w:r w:rsidRPr="005024DE">
              <w:rPr>
                <w:noProof/>
                <w:sz w:val="20"/>
              </w:rPr>
              <w:t>Протез бедра для купания</w:t>
            </w:r>
            <w:r w:rsidRPr="005024DE">
              <w:rPr>
                <w:sz w:val="20"/>
                <w:szCs w:val="20"/>
                <w:lang w:eastAsia="ar-SA"/>
              </w:rPr>
              <w:t xml:space="preserve"> должен соответствовать характеристикам</w:t>
            </w:r>
            <w:r w:rsidRPr="005024DE">
              <w:rPr>
                <w:sz w:val="20"/>
                <w:szCs w:val="20"/>
              </w:rPr>
              <w:t>:</w:t>
            </w:r>
          </w:p>
          <w:p w:rsidR="005E3203" w:rsidRPr="005024DE" w:rsidRDefault="005E3203" w:rsidP="00D966F4">
            <w:pPr>
              <w:suppressAutoHyphens/>
              <w:rPr>
                <w:noProof/>
                <w:sz w:val="20"/>
              </w:rPr>
            </w:pPr>
            <w:r w:rsidRPr="005024DE">
              <w:rPr>
                <w:noProof/>
                <w:sz w:val="20"/>
              </w:rPr>
              <w:br/>
            </w:r>
            <w:proofErr w:type="gramStart"/>
            <w:r w:rsidRPr="005024DE">
              <w:rPr>
                <w:noProof/>
                <w:sz w:val="20"/>
              </w:rPr>
              <w:t>1.1 УРОВЕНЬ АМПУТАЦИИ: 1.1.3 СРЕДНЯЯ ТРЕТЬ БЕДРА;</w:t>
            </w:r>
            <w:r w:rsidRPr="005024DE">
              <w:rPr>
                <w:noProof/>
                <w:sz w:val="20"/>
              </w:rPr>
              <w:br/>
              <w:t>1.2 СОСТОЯНИЕ КУЛЬТИ: 1.2.1 ФУНКЦИОНАЛЬНАЯ;</w:t>
            </w:r>
            <w:r w:rsidRPr="005024DE">
              <w:rPr>
                <w:noProof/>
                <w:sz w:val="20"/>
              </w:rPr>
              <w:br/>
              <w:t>1.3 УРОВЕНЬ АКТИВНОСТИ: 1.3.2 2-3;</w:t>
            </w:r>
            <w:r w:rsidRPr="005024DE">
              <w:rPr>
                <w:noProof/>
                <w:sz w:val="20"/>
              </w:rPr>
              <w:br/>
              <w:t>1.5 ПРОТЕЗИРОВАНИЕ: 1.5.1 ПЕРВИЧНОЕ;</w:t>
            </w:r>
            <w:r w:rsidRPr="005024DE">
              <w:rPr>
                <w:noProof/>
                <w:sz w:val="20"/>
              </w:rPr>
              <w:br/>
              <w:t>1.4 ВЕС ПАЦИЕНТА, КГ: 58;</w:t>
            </w:r>
            <w:r w:rsidRPr="005024DE">
              <w:rPr>
                <w:noProof/>
                <w:sz w:val="20"/>
              </w:rPr>
              <w:br/>
              <w:t xml:space="preserve">2 ПРИЕМНАЯ ГИЛЬЗА: </w:t>
            </w:r>
            <w:r w:rsidRPr="005024DE">
              <w:rPr>
                <w:noProof/>
                <w:sz w:val="20"/>
              </w:rPr>
              <w:br/>
              <w:t>2.1 НАИМЕНОВАНИЕ РАЗНОВИДНОСТИ МОДУЛЯ (УЗЛА, ЭЛЕМЕНТА): 2.1.1 ПРИЕМНАЯ ГИЛЬЗА;</w:t>
            </w:r>
            <w:r w:rsidRPr="005024DE">
              <w:rPr>
                <w:noProof/>
                <w:sz w:val="20"/>
              </w:rPr>
              <w:br/>
              <w:t>3 ВКЛАДНЫЕ ЭЛЕМЕНТЫ</w:t>
            </w:r>
            <w:r w:rsidRPr="005024DE">
              <w:rPr>
                <w:noProof/>
                <w:sz w:val="20"/>
              </w:rPr>
              <w:br/>
              <w:t xml:space="preserve">4 СТОПА: </w:t>
            </w:r>
            <w:r w:rsidRPr="005024DE">
              <w:rPr>
                <w:noProof/>
                <w:sz w:val="20"/>
              </w:rPr>
              <w:br/>
              <w:t>4.1 НАИМЕНОВАНИЕ РАЗНОВИДНОСТИ МОДУЛЯ (УЗЛА, ЭЛЕМЕНТА): 4.1.1 СТОПА ПРОТЕЗА ДЛЯ КУПАНИЯ;</w:t>
            </w:r>
            <w:proofErr w:type="gramEnd"/>
            <w:r w:rsidRPr="005024DE">
              <w:rPr>
                <w:noProof/>
                <w:sz w:val="20"/>
              </w:rPr>
              <w:br/>
            </w:r>
            <w:proofErr w:type="gramStart"/>
            <w:r w:rsidRPr="005024DE">
              <w:rPr>
                <w:noProof/>
                <w:sz w:val="20"/>
              </w:rPr>
              <w:t>4.2 КОНСТРУКТИВНЫЕ ОСОБЕННОСТИ МОДУЛЯ (УЗЛА, ЭЛЕМЕНТА): 4.2.2 СТОПА ИЗ КОМПОЗИЦИОННЫХ МАТЕРИАЛОВ (ЭНЕРГОСБЕРЕГАЮЩАЯ);</w:t>
            </w:r>
            <w:r w:rsidRPr="005024DE">
              <w:rPr>
                <w:noProof/>
                <w:sz w:val="20"/>
              </w:rPr>
              <w:br/>
              <w:t>4.3 ФУНКЦИОНАЛЬНЫЕ ОСОБЕННОСТИ: 4.3.1 ВЛАГОЗАЩИЩЕННАЯ;</w:t>
            </w:r>
            <w:r w:rsidRPr="005024DE">
              <w:rPr>
                <w:noProof/>
                <w:sz w:val="20"/>
              </w:rPr>
              <w:br/>
              <w:t xml:space="preserve">5 КОЛЕННЫЙ МОДУЛЬ ПРОТЕЗА ДЛЯ КУПАНИЯ: </w:t>
            </w:r>
            <w:r w:rsidRPr="005024DE">
              <w:rPr>
                <w:noProof/>
                <w:sz w:val="20"/>
              </w:rPr>
              <w:br/>
              <w:t>5.1 НАИМЕНОВАНИЕ РАЗНОВИДНОСТИ МОДУЛЯ (УЗЛА, ЭЛЕМЕНТА): 5.1.1 КОЛЕННЫЙ МОДУЛЬ;</w:t>
            </w:r>
            <w:r w:rsidRPr="005024DE">
              <w:rPr>
                <w:noProof/>
                <w:sz w:val="20"/>
              </w:rPr>
              <w:br/>
              <w:t>5.2 КОНСТРУКТИВНЫЕ ОСОБЕННОСТИ МОДУЛЯ (УЗЛА, ЭЛЕМЕНТА): 5.2.1 КОЛЕННЫЙ МОДУЛЬ С МЕХАНИЧЕСКИМ УПРАВЛЕНИЕМ ДЛЯ 1-4 УРОВНЯ ДВИГАТЕЛЬНОЙ АКТИВНОСТИ;</w:t>
            </w:r>
            <w:r w:rsidRPr="005024DE">
              <w:rPr>
                <w:noProof/>
                <w:sz w:val="20"/>
              </w:rPr>
              <w:br/>
              <w:t>5.3 ФУНКЦИОНАЛЬНЫЕ ОСОБЕННОСТИ: 5.3.1 ВЛАГОЗАЩИЩЕННЫЙ;</w:t>
            </w:r>
            <w:proofErr w:type="gramEnd"/>
            <w:r w:rsidRPr="005024DE">
              <w:rPr>
                <w:noProof/>
                <w:sz w:val="20"/>
              </w:rPr>
              <w:br/>
            </w:r>
            <w:proofErr w:type="gramStart"/>
            <w:r w:rsidRPr="005024DE">
              <w:rPr>
                <w:noProof/>
                <w:sz w:val="20"/>
              </w:rPr>
              <w:t xml:space="preserve">6 КРЕПЛЕНИЕ: </w:t>
            </w:r>
            <w:r w:rsidRPr="005024DE">
              <w:rPr>
                <w:noProof/>
                <w:sz w:val="20"/>
              </w:rPr>
              <w:br/>
              <w:t>6.1 НАИМЕНОВАНИЕ РАЗНОВИДНОСТИ МОДУЛЯ (УЗЛА, ЭЛЕМЕНТА): 6.1.1 КРЕПЛЕНИЕ;</w:t>
            </w:r>
            <w:r w:rsidRPr="005024DE">
              <w:rPr>
                <w:noProof/>
                <w:sz w:val="20"/>
              </w:rPr>
              <w:br/>
              <w:t>6.2 КОНСТРУКТИВНЫЕ ОСОБЕННОСТИ МОДУЛЯ (УЗЛА, ЭЛЕМЕНТА): 6.2.1 ВАКУУМНЫЙ КЛАПАН;</w:t>
            </w:r>
            <w:r w:rsidRPr="005024DE">
              <w:rPr>
                <w:noProof/>
                <w:sz w:val="20"/>
              </w:rPr>
              <w:br/>
              <w:t>6.3 ФУНКЦИОНАЛЬНЫЕ ОСОБЕННОСТИ: 6.3.1 ВЛАГОЗАЩИЩЕННОЕ;</w:t>
            </w:r>
            <w:r w:rsidRPr="005024DE">
              <w:rPr>
                <w:noProof/>
                <w:sz w:val="20"/>
              </w:rPr>
              <w:br/>
              <w:t xml:space="preserve">7 ОТДЕЛОЧНЫЕ КОСМЕТИЧЕСКИЕ ЭЛЕМЕНТЫ: </w:t>
            </w:r>
            <w:r w:rsidRPr="005024DE">
              <w:rPr>
                <w:noProof/>
                <w:sz w:val="20"/>
              </w:rPr>
              <w:br/>
              <w:t>7.1 НАИМЕНОВАНИЕ РАЗНОВИДНОСТИ МОДУЛЯ (УЗЛА, ЭЛЕМЕНТА): 7.1.1 ЖЕСТКАЯ ОБЛИЦОВКА;</w:t>
            </w:r>
            <w:r w:rsidRPr="005024DE">
              <w:rPr>
                <w:noProof/>
                <w:sz w:val="20"/>
              </w:rPr>
              <w:br/>
              <w:t>7.2 КОНСТРУКТИВНЫЕ ОСОБЕННОСТИ МОДУЛЯ (УЗЛА, ЭЛЕМЕНТА): 7.2.1 ВЛАГОСТОЙКАЯ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3203" w:rsidRPr="005024DE" w:rsidRDefault="005E3203" w:rsidP="00D966F4">
            <w:pPr>
              <w:widowControl w:val="0"/>
              <w:jc w:val="center"/>
              <w:rPr>
                <w:bCs/>
              </w:rPr>
            </w:pPr>
            <w:r w:rsidRPr="005024DE">
              <w:rPr>
                <w:bCs/>
                <w:sz w:val="22"/>
                <w:szCs w:val="22"/>
              </w:rPr>
              <w:t>1</w:t>
            </w:r>
          </w:p>
        </w:tc>
      </w:tr>
      <w:tr w:rsidR="005E3203" w:rsidRPr="005024DE" w:rsidTr="00D966F4">
        <w:trPr>
          <w:trHeight w:val="595"/>
          <w:tblCellSpacing w:w="0" w:type="dxa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203" w:rsidRPr="005024DE" w:rsidRDefault="005E3203" w:rsidP="00D966F4">
            <w:pPr>
              <w:widowControl w:val="0"/>
              <w:jc w:val="center"/>
              <w:rPr>
                <w:noProof/>
                <w:sz w:val="20"/>
              </w:rPr>
            </w:pPr>
            <w:r w:rsidRPr="005024DE">
              <w:rPr>
                <w:noProof/>
                <w:sz w:val="20"/>
              </w:rPr>
              <w:t>2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3203" w:rsidRPr="005024DE" w:rsidRDefault="005E3203" w:rsidP="00D966F4">
            <w:pPr>
              <w:widowControl w:val="0"/>
              <w:jc w:val="center"/>
              <w:rPr>
                <w:noProof/>
                <w:sz w:val="20"/>
              </w:rPr>
            </w:pPr>
            <w:r w:rsidRPr="005024DE">
              <w:rPr>
                <w:noProof/>
                <w:sz w:val="20"/>
              </w:rPr>
              <w:t>Протез бедра модульный, в том числе при врожденном недоразвитии</w:t>
            </w:r>
          </w:p>
          <w:p w:rsidR="005E3203" w:rsidRPr="005024DE" w:rsidRDefault="005E3203" w:rsidP="00D966F4">
            <w:pPr>
              <w:widowControl w:val="0"/>
              <w:jc w:val="center"/>
              <w:rPr>
                <w:noProof/>
                <w:color w:val="FFFFFF"/>
                <w:sz w:val="20"/>
              </w:rPr>
            </w:pPr>
            <w:r w:rsidRPr="005024DE">
              <w:rPr>
                <w:noProof/>
                <w:color w:val="FFFFFF"/>
                <w:sz w:val="20"/>
              </w:rPr>
              <w:t>СЕЧИН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203" w:rsidRPr="005024DE" w:rsidRDefault="005E3203" w:rsidP="00D966F4">
            <w:pPr>
              <w:suppressAutoHyphens/>
              <w:rPr>
                <w:noProof/>
                <w:sz w:val="20"/>
                <w:szCs w:val="20"/>
              </w:rPr>
            </w:pPr>
            <w:r w:rsidRPr="005024DE">
              <w:rPr>
                <w:noProof/>
                <w:sz w:val="20"/>
              </w:rPr>
              <w:t>Протез бедра модульный, в том числе при врожденном недоразвитии</w:t>
            </w:r>
            <w:r w:rsidRPr="005024DE">
              <w:rPr>
                <w:sz w:val="20"/>
                <w:szCs w:val="20"/>
                <w:lang w:eastAsia="ar-SA"/>
              </w:rPr>
              <w:t xml:space="preserve"> должен соответствовать характеристикам</w:t>
            </w:r>
            <w:r w:rsidRPr="005024DE">
              <w:rPr>
                <w:sz w:val="20"/>
                <w:szCs w:val="20"/>
              </w:rPr>
              <w:t>:</w:t>
            </w:r>
          </w:p>
          <w:p w:rsidR="005E3203" w:rsidRPr="005024DE" w:rsidRDefault="005E3203" w:rsidP="00D966F4">
            <w:pPr>
              <w:suppressAutoHyphens/>
              <w:rPr>
                <w:noProof/>
                <w:sz w:val="20"/>
              </w:rPr>
            </w:pPr>
          </w:p>
          <w:p w:rsidR="005E3203" w:rsidRPr="005024DE" w:rsidRDefault="005E3203" w:rsidP="00D966F4">
            <w:pPr>
              <w:suppressAutoHyphens/>
              <w:rPr>
                <w:noProof/>
                <w:sz w:val="20"/>
              </w:rPr>
            </w:pPr>
            <w:proofErr w:type="gramStart"/>
            <w:r w:rsidRPr="005024DE">
              <w:rPr>
                <w:noProof/>
                <w:sz w:val="20"/>
              </w:rPr>
              <w:t>1.1 УРОВЕНЬ АМПУТАЦИИ: 1.1.3 СРЕДНЯЯ ТРЕТЬ БЕДРА;</w:t>
            </w:r>
            <w:r w:rsidRPr="005024DE">
              <w:rPr>
                <w:noProof/>
                <w:sz w:val="20"/>
              </w:rPr>
              <w:br/>
              <w:t>1.2 СОСТОЯНИЕ КУЛЬТИ: 1.2.1 ФУНКЦИОНАЛЬНАЯ;</w:t>
            </w:r>
            <w:r w:rsidRPr="005024DE">
              <w:rPr>
                <w:noProof/>
                <w:sz w:val="20"/>
              </w:rPr>
              <w:br/>
              <w:t>1.3 УРОВЕНЬ АКТИВНОСТИ: 1.3.2 2-3;</w:t>
            </w:r>
            <w:r w:rsidRPr="005024DE">
              <w:rPr>
                <w:noProof/>
                <w:sz w:val="20"/>
              </w:rPr>
              <w:br/>
              <w:t>1.5 ПРОТЕЗИРОВАНИЕ: 1.5.1 ПЕРВИЧНОЕ;</w:t>
            </w:r>
            <w:r w:rsidRPr="005024DE">
              <w:rPr>
                <w:noProof/>
                <w:sz w:val="20"/>
              </w:rPr>
              <w:br/>
              <w:t>1.4 ВЕС ПАЦИЕНТА, КГ: 58;</w:t>
            </w:r>
            <w:r w:rsidRPr="005024DE">
              <w:rPr>
                <w:noProof/>
                <w:sz w:val="20"/>
              </w:rPr>
              <w:br/>
              <w:t xml:space="preserve">2 ПРИЕМНАЯ ГИЛЬЗА: </w:t>
            </w:r>
            <w:r w:rsidRPr="005024DE">
              <w:rPr>
                <w:noProof/>
                <w:sz w:val="20"/>
              </w:rPr>
              <w:br/>
              <w:t>2.1 НАИМЕНОВАНИЕ РАЗНОВИДНОСТИ МОДУЛЯ (УЗЛА, ЭЛЕМЕНТА): 2.1.1 ПРИЕМНАЯ ГИЛЬЗА;</w:t>
            </w:r>
            <w:r w:rsidRPr="005024DE">
              <w:rPr>
                <w:noProof/>
                <w:sz w:val="20"/>
              </w:rPr>
              <w:br/>
              <w:t>2.2 КОНСТРУКТИВНЫЕ ОСОБЕННОСТИ МОДУЛЯ (УЗЛА, ЭЛЕМЕНТА: 2.2.1 ЖЕСТКАЯ;</w:t>
            </w:r>
            <w:r w:rsidRPr="005024DE">
              <w:rPr>
                <w:noProof/>
                <w:sz w:val="20"/>
              </w:rPr>
              <w:br/>
              <w:t>3 ВКЛАДНЫЕ ЭЛЕМЕНТЫ</w:t>
            </w:r>
            <w:r w:rsidRPr="005024DE">
              <w:rPr>
                <w:noProof/>
                <w:sz w:val="20"/>
              </w:rPr>
              <w:br/>
            </w:r>
            <w:r w:rsidRPr="005024DE">
              <w:rPr>
                <w:noProof/>
                <w:sz w:val="20"/>
              </w:rPr>
              <w:lastRenderedPageBreak/>
              <w:t xml:space="preserve">4 СТОПА: </w:t>
            </w:r>
            <w:r w:rsidRPr="005024DE">
              <w:rPr>
                <w:noProof/>
                <w:sz w:val="20"/>
              </w:rPr>
              <w:br/>
              <w:t>4.1 НАИМЕНОВАНИЕ РАЗНОВИДНОСТИ МОДУЛЯ (УЗЛА, ЭЛЕМЕНТА): 4.1.1 СТОПА;</w:t>
            </w:r>
            <w:proofErr w:type="gramEnd"/>
            <w:r w:rsidRPr="005024DE">
              <w:rPr>
                <w:noProof/>
                <w:sz w:val="20"/>
              </w:rPr>
              <w:br/>
              <w:t>4.2 КОНСТРУКТИВНЫЕ ОСОБЕННОСТИ МОДУЛЯ (УЗЛА, ЭЛЕМЕНТА): 4.3.4 СТОПА ИЗ КОМПОЗИЦИОННЫХ МАТЕРИАЛОВ (ЭНЕРГОСБЕРЕГАЮЩАЯ);</w:t>
            </w:r>
            <w:r w:rsidRPr="005024DE">
              <w:rPr>
                <w:noProof/>
                <w:sz w:val="20"/>
              </w:rPr>
              <w:br/>
              <w:t xml:space="preserve">5 КОЛЕННЫЙ МОДУЛЬ: </w:t>
            </w:r>
            <w:r w:rsidRPr="005024DE">
              <w:rPr>
                <w:noProof/>
                <w:sz w:val="20"/>
              </w:rPr>
              <w:br/>
              <w:t>5.1 НАИМЕНОВАНИЕ РАЗНОВИДНОСТИ МОДУЛЯ (УЗЛА, ЭЛЕМЕНТА): 5.1.1 КОЛЕННЫЙ МОДУЛЬ;</w:t>
            </w:r>
            <w:r w:rsidRPr="005024DE">
              <w:rPr>
                <w:noProof/>
                <w:sz w:val="20"/>
              </w:rPr>
              <w:br/>
              <w:t>5.2 КОНСТРУКТИВНЫЕ ОСОБЕННОСТИ МОДУЛЯ (УЗЛА, ЭЛЕМЕНТА): 5.2.1 КОЛЕННЫЙ МОДУЛЬ С МЕХАНИЧЕСКИМ УПРАВЛЕНИЕМ ДЛЯ 1-4 УРОВНЯ ДВИГАТЕЛЬНОЙ АКТИВНОСТИ;</w:t>
            </w:r>
            <w:r w:rsidRPr="005024DE">
              <w:rPr>
                <w:noProof/>
                <w:sz w:val="20"/>
              </w:rPr>
              <w:br/>
              <w:t>6 ДОПОЛНИТЕЛЬНОЕ ФУНКЦИОНАЛЬНОЕ УСТРОЙСТВО</w:t>
            </w:r>
          </w:p>
          <w:p w:rsidR="005E3203" w:rsidRPr="005024DE" w:rsidRDefault="005E3203" w:rsidP="00D966F4">
            <w:pPr>
              <w:suppressAutoHyphens/>
              <w:rPr>
                <w:noProof/>
                <w:sz w:val="20"/>
              </w:rPr>
            </w:pPr>
            <w:proofErr w:type="gramStart"/>
            <w:r w:rsidRPr="005024DE">
              <w:rPr>
                <w:noProof/>
                <w:sz w:val="20"/>
              </w:rPr>
              <w:t xml:space="preserve">7 КРЕПЛЕНИЕ: </w:t>
            </w:r>
            <w:r w:rsidRPr="005024DE">
              <w:rPr>
                <w:noProof/>
                <w:sz w:val="20"/>
              </w:rPr>
              <w:br/>
              <w:t>7.1 НАИМЕНОВАНИЕ РАЗНОВИДНОСТИ МОДУЛЯ (УЗЛА, ЭЛЕМЕНТА): 7.1.1 КРЕПЛЕНИЕ;</w:t>
            </w:r>
            <w:r w:rsidRPr="005024DE">
              <w:rPr>
                <w:noProof/>
                <w:sz w:val="20"/>
              </w:rPr>
              <w:br/>
              <w:t>7.2 КОНСТРУКТИВНЫЕ ОСОБЕННОСТИ МОДУЛЯ (УЗЛА, ЭЛЕМЕНТА): 7.2.1 ВАКУУМНОЕ КРЕПЛЕНИЕ;</w:t>
            </w:r>
            <w:r w:rsidRPr="005024DE">
              <w:rPr>
                <w:noProof/>
                <w:sz w:val="20"/>
              </w:rPr>
              <w:br/>
              <w:t xml:space="preserve">8 ОТДЕЛОЧНЫЕ КОСМЕТИЧЕСКИЕ ЭЛЕМЕНТЫ: </w:t>
            </w:r>
            <w:r w:rsidRPr="005024DE">
              <w:rPr>
                <w:noProof/>
                <w:sz w:val="20"/>
              </w:rPr>
              <w:br/>
              <w:t>8.1 НАИМЕНОВАНИЕ РАЗНОВИДНОСТИ МОДУЛЯ УЗЛА, ЭЛЕМЕНТА): 8.1.2 МЯГКАЯ ОБЛИЦОВКА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3203" w:rsidRPr="005024DE" w:rsidRDefault="005E3203" w:rsidP="00D966F4">
            <w:pPr>
              <w:widowControl w:val="0"/>
              <w:jc w:val="center"/>
              <w:rPr>
                <w:bCs/>
              </w:rPr>
            </w:pPr>
            <w:r w:rsidRPr="005024DE">
              <w:rPr>
                <w:bCs/>
                <w:sz w:val="22"/>
                <w:szCs w:val="22"/>
              </w:rPr>
              <w:lastRenderedPageBreak/>
              <w:t>1</w:t>
            </w:r>
          </w:p>
        </w:tc>
      </w:tr>
      <w:tr w:rsidR="005E3203" w:rsidRPr="005024DE" w:rsidTr="00D966F4">
        <w:trPr>
          <w:trHeight w:val="536"/>
          <w:tblCellSpacing w:w="0" w:type="dxa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203" w:rsidRPr="005024DE" w:rsidRDefault="005E3203" w:rsidP="00D966F4">
            <w:pPr>
              <w:widowControl w:val="0"/>
              <w:jc w:val="center"/>
              <w:rPr>
                <w:noProof/>
                <w:sz w:val="20"/>
              </w:rPr>
            </w:pPr>
            <w:r w:rsidRPr="005024DE">
              <w:rPr>
                <w:noProof/>
                <w:sz w:val="20"/>
              </w:rPr>
              <w:lastRenderedPageBreak/>
              <w:t>3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3203" w:rsidRPr="005024DE" w:rsidRDefault="005E3203" w:rsidP="00D966F4">
            <w:pPr>
              <w:widowControl w:val="0"/>
              <w:jc w:val="center"/>
              <w:rPr>
                <w:noProof/>
                <w:sz w:val="20"/>
              </w:rPr>
            </w:pPr>
            <w:r w:rsidRPr="005024DE">
              <w:rPr>
                <w:noProof/>
                <w:sz w:val="20"/>
              </w:rPr>
              <w:t>Протез голени модульный, в том числе при недоразвитии</w:t>
            </w:r>
          </w:p>
          <w:p w:rsidR="005E3203" w:rsidRPr="005024DE" w:rsidRDefault="005E3203" w:rsidP="00D966F4">
            <w:pPr>
              <w:widowControl w:val="0"/>
              <w:jc w:val="center"/>
              <w:rPr>
                <w:noProof/>
                <w:color w:val="FFFFFF"/>
                <w:sz w:val="20"/>
              </w:rPr>
            </w:pPr>
            <w:r w:rsidRPr="005024DE">
              <w:rPr>
                <w:noProof/>
                <w:color w:val="FFFFFF"/>
                <w:sz w:val="20"/>
              </w:rPr>
              <w:t>БОЙКЕВИЧ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3203" w:rsidRPr="005024DE" w:rsidRDefault="005E3203" w:rsidP="00D966F4">
            <w:pPr>
              <w:suppressAutoHyphens/>
              <w:rPr>
                <w:noProof/>
                <w:sz w:val="20"/>
                <w:szCs w:val="20"/>
              </w:rPr>
            </w:pPr>
            <w:r w:rsidRPr="005024DE">
              <w:rPr>
                <w:noProof/>
                <w:sz w:val="20"/>
              </w:rPr>
              <w:t>Протез голени модульный, в том числе при недоразвитии</w:t>
            </w:r>
            <w:r w:rsidRPr="005024DE">
              <w:rPr>
                <w:sz w:val="20"/>
                <w:szCs w:val="20"/>
                <w:lang w:eastAsia="ar-SA"/>
              </w:rPr>
              <w:t xml:space="preserve"> должен соответствовать характеристикам</w:t>
            </w:r>
            <w:r w:rsidRPr="005024DE">
              <w:rPr>
                <w:sz w:val="20"/>
                <w:szCs w:val="20"/>
              </w:rPr>
              <w:t>:</w:t>
            </w:r>
          </w:p>
          <w:p w:rsidR="005E3203" w:rsidRPr="005024DE" w:rsidRDefault="005E3203" w:rsidP="00D966F4">
            <w:pPr>
              <w:suppressAutoHyphens/>
              <w:rPr>
                <w:noProof/>
                <w:sz w:val="20"/>
              </w:rPr>
            </w:pPr>
          </w:p>
          <w:p w:rsidR="005E3203" w:rsidRPr="005024DE" w:rsidRDefault="005E3203" w:rsidP="00D966F4">
            <w:pPr>
              <w:suppressAutoHyphens/>
              <w:rPr>
                <w:noProof/>
                <w:sz w:val="20"/>
              </w:rPr>
            </w:pPr>
            <w:proofErr w:type="gramStart"/>
            <w:r w:rsidRPr="005024DE">
              <w:rPr>
                <w:noProof/>
                <w:sz w:val="20"/>
              </w:rPr>
              <w:t>1.1 Уровень ампутации: 1.1.5 Верхняя треть голени;</w:t>
            </w:r>
            <w:r w:rsidRPr="005024DE">
              <w:rPr>
                <w:noProof/>
                <w:sz w:val="20"/>
              </w:rPr>
              <w:br/>
              <w:t>1.2 Состояние культи: 1.2.1 Функциональная;</w:t>
            </w:r>
            <w:r w:rsidRPr="005024DE">
              <w:rPr>
                <w:noProof/>
                <w:sz w:val="20"/>
              </w:rPr>
              <w:br/>
              <w:t>1.3 Уровень активности: 1.3.3 3-4;</w:t>
            </w:r>
            <w:r w:rsidRPr="005024DE">
              <w:rPr>
                <w:noProof/>
                <w:sz w:val="20"/>
              </w:rPr>
              <w:br/>
              <w:t>1.5 Протезирование: 1.5.2 Повторное;</w:t>
            </w:r>
            <w:r w:rsidRPr="005024DE">
              <w:rPr>
                <w:noProof/>
                <w:sz w:val="20"/>
              </w:rPr>
              <w:br/>
              <w:t>1.4 Вес пациента, кг: 89;</w:t>
            </w:r>
            <w:r w:rsidRPr="005024DE">
              <w:rPr>
                <w:noProof/>
                <w:sz w:val="20"/>
              </w:rPr>
              <w:br/>
              <w:t xml:space="preserve">2 Приемная гильза: </w:t>
            </w:r>
            <w:r w:rsidRPr="005024DE">
              <w:rPr>
                <w:noProof/>
                <w:sz w:val="20"/>
              </w:rPr>
              <w:br/>
              <w:t>2.1 Наименование разновидности модуля (узла, элемента): 2.1.1 Приемная гильза;</w:t>
            </w:r>
            <w:r w:rsidRPr="005024DE">
              <w:rPr>
                <w:noProof/>
                <w:sz w:val="20"/>
              </w:rPr>
              <w:br/>
              <w:t xml:space="preserve">3 Вкладные элементы: </w:t>
            </w:r>
            <w:r w:rsidRPr="005024DE">
              <w:rPr>
                <w:noProof/>
                <w:sz w:val="20"/>
              </w:rPr>
              <w:br/>
              <w:t>3.1 Наименование разновидности модуля (узла, элемента): 3.1.1 Вкладная гильза из силикона;</w:t>
            </w:r>
            <w:proofErr w:type="gramEnd"/>
            <w:r w:rsidRPr="005024DE">
              <w:rPr>
                <w:noProof/>
                <w:sz w:val="20"/>
              </w:rPr>
              <w:br/>
            </w:r>
            <w:proofErr w:type="gramStart"/>
            <w:r w:rsidRPr="005024DE">
              <w:rPr>
                <w:noProof/>
                <w:sz w:val="20"/>
              </w:rPr>
              <w:t xml:space="preserve">4 Стопа: </w:t>
            </w:r>
            <w:r w:rsidRPr="005024DE">
              <w:rPr>
                <w:noProof/>
                <w:sz w:val="20"/>
              </w:rPr>
              <w:br/>
              <w:t>4.1 Наименование разновидности модуля (узла, элемента): 4.1.1 Стопа;</w:t>
            </w:r>
            <w:r w:rsidRPr="005024DE">
              <w:rPr>
                <w:noProof/>
                <w:sz w:val="20"/>
              </w:rPr>
              <w:br/>
              <w:t>4.2 Конструктивные особенности модуля (узла, элемента): 4.2.4 Стопа из композиционных материалов (энергосберегающая);</w:t>
            </w:r>
            <w:r w:rsidRPr="005024DE">
              <w:rPr>
                <w:noProof/>
                <w:sz w:val="20"/>
              </w:rPr>
              <w:br/>
              <w:t>5 Дополнительный компонент (модуль) протеза: ;</w:t>
            </w:r>
            <w:r w:rsidRPr="005024DE">
              <w:rPr>
                <w:noProof/>
                <w:sz w:val="20"/>
              </w:rPr>
              <w:br/>
              <w:t xml:space="preserve">6 Крепление: </w:t>
            </w:r>
            <w:r w:rsidRPr="005024DE">
              <w:rPr>
                <w:noProof/>
                <w:sz w:val="20"/>
              </w:rPr>
              <w:br/>
              <w:t>6.1 Наименование разновидности модуля (узла, элемента): 6.1.1 Крепление;</w:t>
            </w:r>
            <w:r w:rsidRPr="005024DE">
              <w:rPr>
                <w:noProof/>
                <w:sz w:val="20"/>
              </w:rPr>
              <w:br/>
              <w:t>6.2 Конструктивные особенности модуля (узла, элемента): 6.2.1 Вакуумное крепление, 6.2.5 Бандаж-наколенник;</w:t>
            </w:r>
            <w:proofErr w:type="gramEnd"/>
            <w:r w:rsidRPr="005024DE">
              <w:rPr>
                <w:noProof/>
                <w:sz w:val="20"/>
              </w:rPr>
              <w:br/>
              <w:t xml:space="preserve">7 Отделочные косметические элементы: </w:t>
            </w:r>
            <w:r w:rsidRPr="005024DE">
              <w:rPr>
                <w:noProof/>
                <w:sz w:val="20"/>
              </w:rPr>
              <w:br/>
              <w:t>7.1 Наименование разновидности модуля (узла, элемента): 7.1.2 Мягкая облицовка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E3203" w:rsidRPr="005024DE" w:rsidRDefault="005E3203" w:rsidP="00D966F4">
            <w:pPr>
              <w:widowControl w:val="0"/>
              <w:jc w:val="center"/>
              <w:rPr>
                <w:bCs/>
              </w:rPr>
            </w:pPr>
            <w:r w:rsidRPr="005024DE">
              <w:rPr>
                <w:bCs/>
                <w:sz w:val="22"/>
                <w:szCs w:val="22"/>
              </w:rPr>
              <w:t>1</w:t>
            </w:r>
          </w:p>
        </w:tc>
      </w:tr>
    </w:tbl>
    <w:p w:rsidR="005E3203" w:rsidRPr="005024DE" w:rsidRDefault="005E3203" w:rsidP="005E3203">
      <w:pPr>
        <w:widowControl w:val="0"/>
        <w:ind w:firstLine="709"/>
        <w:jc w:val="both"/>
        <w:rPr>
          <w:sz w:val="22"/>
          <w:szCs w:val="22"/>
          <w:lang w:eastAsia="ar-SA"/>
        </w:rPr>
      </w:pPr>
      <w:r w:rsidRPr="005024DE">
        <w:rPr>
          <w:noProof/>
          <w:sz w:val="20"/>
        </w:rPr>
        <w:t>Протез бедра модульный, в том числе при врожденном недоразвитии</w:t>
      </w:r>
      <w:r w:rsidRPr="005024DE">
        <w:rPr>
          <w:sz w:val="22"/>
          <w:szCs w:val="22"/>
          <w:lang w:eastAsia="ar-SA"/>
        </w:rPr>
        <w:t xml:space="preserve"> должен иметь серийный номер узлов (коленный модуль, стопа).</w:t>
      </w:r>
    </w:p>
    <w:p w:rsidR="005E3203" w:rsidRPr="005024DE" w:rsidRDefault="005E3203" w:rsidP="005E3203">
      <w:pPr>
        <w:widowControl w:val="0"/>
        <w:ind w:firstLine="709"/>
        <w:jc w:val="both"/>
        <w:rPr>
          <w:sz w:val="22"/>
          <w:szCs w:val="22"/>
          <w:lang w:eastAsia="ar-SA"/>
        </w:rPr>
      </w:pPr>
      <w:r w:rsidRPr="005024DE">
        <w:rPr>
          <w:noProof/>
          <w:sz w:val="20"/>
        </w:rPr>
        <w:t>Протез бедра для купания</w:t>
      </w:r>
      <w:r w:rsidRPr="005024DE">
        <w:rPr>
          <w:sz w:val="22"/>
          <w:szCs w:val="22"/>
          <w:lang w:eastAsia="ar-SA"/>
        </w:rPr>
        <w:t xml:space="preserve"> должен иметь серийный номер узлов (коленный модуль, стопа).</w:t>
      </w:r>
    </w:p>
    <w:p w:rsidR="005E3203" w:rsidRPr="005024DE" w:rsidRDefault="005E3203" w:rsidP="005E3203">
      <w:pPr>
        <w:suppressAutoHyphens/>
        <w:rPr>
          <w:noProof/>
          <w:sz w:val="20"/>
        </w:rPr>
      </w:pPr>
      <w:r w:rsidRPr="005024DE">
        <w:rPr>
          <w:noProof/>
          <w:sz w:val="20"/>
        </w:rPr>
        <w:t xml:space="preserve">Протез голени модульный, в том числе при недоразвитии </w:t>
      </w:r>
      <w:r w:rsidRPr="005024DE">
        <w:rPr>
          <w:sz w:val="22"/>
          <w:szCs w:val="22"/>
          <w:lang w:eastAsia="ar-SA"/>
        </w:rPr>
        <w:t>должен иметь серийный номер узлов</w:t>
      </w:r>
      <w:r w:rsidRPr="005024DE">
        <w:rPr>
          <w:noProof/>
          <w:sz w:val="22"/>
          <w:szCs w:val="22"/>
        </w:rPr>
        <w:t xml:space="preserve"> </w:t>
      </w:r>
      <w:r w:rsidRPr="005024DE">
        <w:rPr>
          <w:sz w:val="22"/>
          <w:szCs w:val="22"/>
          <w:lang w:eastAsia="ar-SA"/>
        </w:rPr>
        <w:t>(стопа).</w:t>
      </w:r>
    </w:p>
    <w:p w:rsidR="005E3203" w:rsidRPr="005024DE" w:rsidRDefault="005E3203" w:rsidP="005E3203">
      <w:pPr>
        <w:widowControl w:val="0"/>
        <w:autoSpaceDE w:val="0"/>
        <w:ind w:firstLine="709"/>
        <w:jc w:val="both"/>
        <w:rPr>
          <w:sz w:val="22"/>
          <w:szCs w:val="22"/>
          <w:lang w:eastAsia="ar-SA"/>
        </w:rPr>
      </w:pPr>
      <w:r w:rsidRPr="005024DE">
        <w:rPr>
          <w:sz w:val="22"/>
          <w:szCs w:val="22"/>
          <w:lang w:eastAsia="ar-SA"/>
        </w:rPr>
        <w:t>Протезирование нижних конечностей - процесс, заключающийся в проведении комплекса медицинских, технических и организационных мероприятий, направленных на восстановление функциональных возможностей пациента, осуществляемый с использованием замены утраченной нижней конечности искусственным эквивалентом (протезом), с максимальным сохранением индивидуальных особенностей пациента.</w:t>
      </w:r>
    </w:p>
    <w:p w:rsidR="005E3203" w:rsidRPr="005024DE" w:rsidRDefault="005E3203" w:rsidP="005E3203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5024DE">
        <w:rPr>
          <w:sz w:val="22"/>
          <w:szCs w:val="22"/>
          <w:lang w:eastAsia="ar-SA"/>
        </w:rPr>
        <w:lastRenderedPageBreak/>
        <w:t xml:space="preserve">Протез нижней конечности должен соответствовать требованиям Государственного стандарта РФ ГОСТ </w:t>
      </w:r>
      <w:proofErr w:type="gramStart"/>
      <w:r w:rsidRPr="005024DE">
        <w:rPr>
          <w:sz w:val="22"/>
          <w:szCs w:val="22"/>
          <w:lang w:eastAsia="ar-SA"/>
        </w:rPr>
        <w:t>Р</w:t>
      </w:r>
      <w:proofErr w:type="gramEnd"/>
      <w:r w:rsidRPr="005024DE">
        <w:rPr>
          <w:sz w:val="22"/>
          <w:szCs w:val="22"/>
          <w:lang w:eastAsia="ar-SA"/>
        </w:rPr>
        <w:t xml:space="preserve"> 59542-2021,  ГОСТ Р 51632-2021, </w:t>
      </w:r>
      <w:r w:rsidRPr="005024DE">
        <w:rPr>
          <w:sz w:val="22"/>
          <w:szCs w:val="22"/>
        </w:rPr>
        <w:t>ГОСТ Р 51819-2022</w:t>
      </w:r>
      <w:r w:rsidRPr="005024DE">
        <w:rPr>
          <w:sz w:val="22"/>
          <w:szCs w:val="22"/>
          <w:lang w:eastAsia="ar-SA"/>
        </w:rPr>
        <w:t xml:space="preserve"> «Протезирование и </w:t>
      </w:r>
      <w:proofErr w:type="spellStart"/>
      <w:r w:rsidRPr="005024DE">
        <w:rPr>
          <w:sz w:val="22"/>
          <w:szCs w:val="22"/>
          <w:lang w:eastAsia="ar-SA"/>
        </w:rPr>
        <w:t>ортезирование</w:t>
      </w:r>
      <w:proofErr w:type="spellEnd"/>
      <w:r w:rsidRPr="005024DE">
        <w:rPr>
          <w:sz w:val="22"/>
          <w:szCs w:val="22"/>
          <w:lang w:eastAsia="ar-SA"/>
        </w:rPr>
        <w:t xml:space="preserve"> верхних и нижних конечностей».</w:t>
      </w:r>
    </w:p>
    <w:p w:rsidR="005E3203" w:rsidRPr="005024DE" w:rsidRDefault="005E3203" w:rsidP="005E3203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5024DE">
        <w:rPr>
          <w:sz w:val="22"/>
          <w:szCs w:val="22"/>
          <w:lang w:eastAsia="ar-SA"/>
        </w:rPr>
        <w:t xml:space="preserve">Выполняемые работы по обеспечению протезом нижней конечности должны содержать комплекс медицинских, технических и социальных мероприятий, проводимых с пациентами, имеющими нарушения и дефекты опорно-двигательного аппарата, в целях восстановления или компенсации ограничений их жизнедеятельности. </w:t>
      </w:r>
    </w:p>
    <w:p w:rsidR="005E3203" w:rsidRPr="005024DE" w:rsidRDefault="005E3203" w:rsidP="005E3203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5024DE">
        <w:rPr>
          <w:sz w:val="22"/>
          <w:szCs w:val="22"/>
          <w:lang w:eastAsia="ar-SA"/>
        </w:rPr>
        <w:t>Работы по проведению комплекса медицинских, технических и организационных мероприятий, должны быть направлены на частичное восстановление опорно-двигательных функций и устранение косметических дефектов нижних конечностей пациента с помощью протеза нижней конечности. Работы по обеспечению протезом должны быть эффективно исполнены, у Получателя: должны быть восстановлены опорная и двигательная функции конечности, должны быть созданы условия для предупреждения развития деформации и благоприятного течения болезни. Работы по обеспечению протезом должны выполняться с надлежащим качеством и в установленные сроки.</w:t>
      </w:r>
    </w:p>
    <w:p w:rsidR="005E3203" w:rsidRPr="005024DE" w:rsidRDefault="005E3203" w:rsidP="005E3203">
      <w:pPr>
        <w:widowControl w:val="0"/>
        <w:autoSpaceDE w:val="0"/>
        <w:ind w:firstLine="567"/>
        <w:jc w:val="both"/>
        <w:rPr>
          <w:sz w:val="22"/>
          <w:szCs w:val="22"/>
          <w:lang w:eastAsia="ar-SA"/>
        </w:rPr>
      </w:pPr>
      <w:r w:rsidRPr="005024DE">
        <w:rPr>
          <w:sz w:val="22"/>
          <w:szCs w:val="22"/>
          <w:lang w:eastAsia="ar-SA"/>
        </w:rPr>
        <w:t>Обучение пользованию протезом нижней конечности  направлено на устранение или возможно более полную компенсацию ограничения жизнедеятельности, в том числе путем проведения медицинской реабилитации. Конечной целью обучения является содействие социальной адаптации и интеграции в общество  и предоставляется Получателям протезно-ортопедическими предприятиями в процессе выполнения работ (оказании услуг) по протезированию нижних конечностей.</w:t>
      </w:r>
    </w:p>
    <w:p w:rsidR="005E3203" w:rsidRPr="005024DE" w:rsidRDefault="005E3203" w:rsidP="005E3203">
      <w:pPr>
        <w:widowControl w:val="0"/>
        <w:autoSpaceDE w:val="0"/>
        <w:ind w:firstLine="567"/>
        <w:jc w:val="both"/>
        <w:rPr>
          <w:sz w:val="22"/>
          <w:szCs w:val="22"/>
          <w:lang w:eastAsia="ar-SA"/>
        </w:rPr>
      </w:pPr>
      <w:r w:rsidRPr="005024DE">
        <w:rPr>
          <w:sz w:val="22"/>
          <w:szCs w:val="22"/>
          <w:lang w:eastAsia="ar-SA"/>
        </w:rPr>
        <w:t>В целях подтверждения проведенного обучения необходимо составить заключение о проведенном курсе обучения и достигнутом медицинском реабилитационном эффекте в трех экземплярах  - один экземпляр передается получателю, второй экземпляр остается у исполнителя (подрядчика), третий экземпляр передается заказчику с актом приема-передачи изделия получателю.</w:t>
      </w:r>
    </w:p>
    <w:p w:rsidR="005E3203" w:rsidRPr="005024DE" w:rsidRDefault="005E3203" w:rsidP="005E3203">
      <w:pPr>
        <w:widowControl w:val="0"/>
        <w:autoSpaceDE w:val="0"/>
        <w:ind w:firstLine="709"/>
        <w:jc w:val="both"/>
        <w:rPr>
          <w:sz w:val="22"/>
          <w:szCs w:val="22"/>
          <w:lang w:eastAsia="ar-SA"/>
        </w:rPr>
      </w:pPr>
      <w:r w:rsidRPr="005024DE">
        <w:rPr>
          <w:i/>
          <w:sz w:val="22"/>
          <w:szCs w:val="22"/>
          <w:lang w:eastAsia="ar-SA"/>
        </w:rPr>
        <w:t>Требования к сроку предоставления гарантий качества</w:t>
      </w:r>
      <w:r w:rsidRPr="005024DE">
        <w:rPr>
          <w:sz w:val="22"/>
          <w:szCs w:val="22"/>
          <w:lang w:eastAsia="ar-SA"/>
        </w:rPr>
        <w:t>: Гарантийный срок на протез устанавливается со дня выдачи готового изделия в эксплуатацию не менее 7 месяцев. Срок выполнения гарантийного ремонта должен быть не более 20 рабочих дней с момента обращения Получателя. В течение этого срока предприятие-изготовитель обязано производить замену или ремонт изделия бесплатно.</w:t>
      </w:r>
    </w:p>
    <w:p w:rsidR="005E3203" w:rsidRPr="005024DE" w:rsidRDefault="005E3203" w:rsidP="005E3203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eastAsia="Arial Unicode MS" w:cs="Calibri"/>
          <w:kern w:val="2"/>
          <w:sz w:val="22"/>
          <w:szCs w:val="22"/>
          <w:lang w:eastAsia="zh-CN" w:bidi="hi-IN"/>
        </w:rPr>
      </w:pPr>
      <w:r w:rsidRPr="005024DE">
        <w:rPr>
          <w:rFonts w:eastAsia="Arial Unicode MS" w:cs="Calibri"/>
          <w:kern w:val="2"/>
          <w:sz w:val="22"/>
          <w:szCs w:val="22"/>
          <w:lang w:eastAsia="zh-CN" w:bidi="hi-IN"/>
        </w:rPr>
        <w:t xml:space="preserve">Обязанность исполнителя (подрядчика) при выдаче изделия получателю предоставить гарантийные талоны, дающие получателям право в период действия гарантийного срока осуществлять гарантийное обслуживание изделия. 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 </w:t>
      </w:r>
      <w:proofErr w:type="gramStart"/>
      <w:r w:rsidRPr="005024DE">
        <w:rPr>
          <w:rFonts w:eastAsia="Arial Unicode MS" w:cs="Calibri"/>
          <w:kern w:val="2"/>
          <w:sz w:val="22"/>
          <w:szCs w:val="22"/>
          <w:lang w:eastAsia="zh-CN" w:bidi="hi-IN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(подрядчиком)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</w:t>
      </w:r>
      <w:proofErr w:type="gramEnd"/>
      <w:r w:rsidRPr="005024DE">
        <w:rPr>
          <w:rFonts w:eastAsia="Arial Unicode MS" w:cs="Calibri"/>
          <w:kern w:val="2"/>
          <w:sz w:val="22"/>
          <w:szCs w:val="22"/>
          <w:lang w:eastAsia="zh-CN" w:bidi="hi-IN"/>
        </w:rPr>
        <w:t xml:space="preserve">  Исполнитель (подрядчик)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5E3203" w:rsidRPr="005024DE" w:rsidRDefault="005E3203" w:rsidP="005E3203">
      <w:pPr>
        <w:keepNext/>
        <w:widowControl w:val="0"/>
        <w:ind w:firstLine="567"/>
        <w:jc w:val="both"/>
        <w:rPr>
          <w:sz w:val="22"/>
          <w:szCs w:val="22"/>
          <w:lang w:eastAsia="ar-SA"/>
        </w:rPr>
      </w:pPr>
      <w:r w:rsidRPr="005024DE">
        <w:rPr>
          <w:i/>
          <w:sz w:val="22"/>
          <w:szCs w:val="22"/>
        </w:rPr>
        <w:t>Условия выполнения работ:</w:t>
      </w:r>
      <w:r w:rsidRPr="005024DE">
        <w:rPr>
          <w:sz w:val="22"/>
          <w:szCs w:val="22"/>
          <w:lang w:eastAsia="ar-SA"/>
        </w:rPr>
        <w:t xml:space="preserve"> При получении от Заказчика Реестров Получателей не позднее 3 календарных дней приступить к проведению мероприятий по обеспечению Получателей необходимыми Изделиями. </w:t>
      </w:r>
      <w:r w:rsidRPr="005024DE">
        <w:rPr>
          <w:rFonts w:eastAsia="Calibri"/>
          <w:sz w:val="22"/>
          <w:szCs w:val="22"/>
          <w:lang w:eastAsia="en-US"/>
        </w:rPr>
        <w:t>Выполнение работ, должно осуществляться по направлениям Заказчика, в срок не более 60 (шестидесяти) календарных дней со дня направления Заказчиком Исполнителю реестров направлений получателей услуг, не позднее 15.10.2024.</w:t>
      </w:r>
    </w:p>
    <w:p w:rsidR="005E3203" w:rsidRPr="005024DE" w:rsidRDefault="005E3203" w:rsidP="005E3203">
      <w:pPr>
        <w:widowControl w:val="0"/>
        <w:autoSpaceDE w:val="0"/>
        <w:ind w:firstLine="709"/>
        <w:jc w:val="both"/>
        <w:rPr>
          <w:sz w:val="22"/>
          <w:szCs w:val="22"/>
          <w:lang w:eastAsia="ar-SA"/>
        </w:rPr>
      </w:pPr>
      <w:r w:rsidRPr="005024DE">
        <w:rPr>
          <w:sz w:val="22"/>
          <w:szCs w:val="22"/>
          <w:lang w:eastAsia="ar-SA"/>
        </w:rPr>
        <w:t xml:space="preserve">Выполнение работ по обеспечению Получателя должно осуществляться при наличии направлений, выданного </w:t>
      </w:r>
      <w:r w:rsidRPr="005024DE">
        <w:rPr>
          <w:sz w:val="22"/>
          <w:szCs w:val="22"/>
          <w:shd w:val="clear" w:color="auto" w:fill="FFFFFF"/>
        </w:rPr>
        <w:t>Заказчиком. При необходимости прием заказа на изготовление протезов, приемка и доставка готового изделия осуществляется с выездом представителей Исполнителя (выездной бригады) по месту жительства Получателя</w:t>
      </w:r>
      <w:r w:rsidRPr="005024DE">
        <w:rPr>
          <w:sz w:val="22"/>
          <w:szCs w:val="22"/>
          <w:lang w:eastAsia="ar-SA"/>
        </w:rPr>
        <w:t xml:space="preserve"> (на территории Республики Адыгея) и другими способами по желанию Получателя или доверенного лица при представлении им паспорта и отрывного талона, выдаваемого Заказчиком</w:t>
      </w:r>
      <w:r w:rsidRPr="005024DE">
        <w:rPr>
          <w:sz w:val="22"/>
          <w:szCs w:val="22"/>
          <w:shd w:val="clear" w:color="auto" w:fill="FFFFFF"/>
        </w:rPr>
        <w:t xml:space="preserve"> за счет Исполнителя. </w:t>
      </w:r>
    </w:p>
    <w:p w:rsidR="005E3203" w:rsidRPr="005024DE" w:rsidRDefault="005E3203" w:rsidP="005E3203">
      <w:pPr>
        <w:widowControl w:val="0"/>
        <w:autoSpaceDE w:val="0"/>
        <w:ind w:firstLine="708"/>
        <w:jc w:val="both"/>
        <w:rPr>
          <w:sz w:val="22"/>
          <w:szCs w:val="22"/>
          <w:lang w:eastAsia="ar-SA"/>
        </w:rPr>
      </w:pPr>
      <w:r w:rsidRPr="005024DE">
        <w:rPr>
          <w:sz w:val="22"/>
          <w:szCs w:val="22"/>
          <w:lang w:eastAsia="ar-SA"/>
        </w:rPr>
        <w:t xml:space="preserve">Непосредственно до начала выполнения работ предоставить Получателю право выбора </w:t>
      </w:r>
      <w:r w:rsidRPr="005024DE">
        <w:rPr>
          <w:sz w:val="22"/>
          <w:szCs w:val="22"/>
          <w:lang w:eastAsia="ar-SA"/>
        </w:rPr>
        <w:lastRenderedPageBreak/>
        <w:t>способа получения готового Изделия (по месту жительства, по месту нахождения пункта выдачи) посредством взаимодействия с Получателем, используя Реестр получателей, предоставленный Заказчиком.</w:t>
      </w:r>
    </w:p>
    <w:p w:rsidR="005E3203" w:rsidRPr="005024DE" w:rsidRDefault="005E3203" w:rsidP="005E3203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5024DE">
        <w:rPr>
          <w:sz w:val="22"/>
          <w:szCs w:val="22"/>
          <w:lang w:eastAsia="ar-SA"/>
        </w:rPr>
        <w:t>Осуществлять еженедельное предоставление Заказчику в письменной форме информации о порядке исполнения условий Контракта, с предоставлением сведений о Получателях, отказавшихся от получения Изделий (с предоставлением письменного отказа Получателя).</w:t>
      </w:r>
    </w:p>
    <w:p w:rsidR="005E3203" w:rsidRPr="005024DE" w:rsidRDefault="005E3203" w:rsidP="005E3203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5024DE">
        <w:rPr>
          <w:sz w:val="22"/>
          <w:szCs w:val="22"/>
          <w:lang w:eastAsia="ar-SA"/>
        </w:rPr>
        <w:t>Обеспечить корректное обращение с Получателями (представителями Получателей) при снятии мерок и передаче Изделий, а также исключить ситуации длительного ожидания Получателей при получении Изделий.</w:t>
      </w:r>
    </w:p>
    <w:p w:rsidR="005E3203" w:rsidRPr="005024DE" w:rsidRDefault="005E3203" w:rsidP="005E3203">
      <w:pPr>
        <w:widowControl w:val="0"/>
        <w:autoSpaceDE w:val="0"/>
        <w:ind w:firstLine="540"/>
        <w:jc w:val="both"/>
        <w:rPr>
          <w:rFonts w:eastAsia="Arial" w:cs="Arial"/>
          <w:sz w:val="22"/>
          <w:szCs w:val="22"/>
          <w:lang w:eastAsia="ar-SA"/>
        </w:rPr>
      </w:pPr>
      <w:r w:rsidRPr="005024DE">
        <w:rPr>
          <w:rFonts w:eastAsia="Arial" w:cs="Arial"/>
          <w:sz w:val="22"/>
          <w:szCs w:val="22"/>
          <w:lang w:eastAsia="ar-SA"/>
        </w:rPr>
        <w:t>Контра</w:t>
      </w:r>
      <w:proofErr w:type="gramStart"/>
      <w:r w:rsidRPr="005024DE">
        <w:rPr>
          <w:rFonts w:eastAsia="Arial" w:cs="Arial"/>
          <w:sz w:val="22"/>
          <w:szCs w:val="22"/>
          <w:lang w:eastAsia="ar-SA"/>
        </w:rPr>
        <w:t>кт  вст</w:t>
      </w:r>
      <w:proofErr w:type="gramEnd"/>
      <w:r w:rsidRPr="005024DE">
        <w:rPr>
          <w:rFonts w:eastAsia="Arial" w:cs="Arial"/>
          <w:sz w:val="22"/>
          <w:szCs w:val="22"/>
          <w:lang w:eastAsia="ar-SA"/>
        </w:rPr>
        <w:t>упает в силу с момента его заключения и действует до 01.11.2024 г. Окончание срока действия Контракта не влечет прекращения неисполненных обязательств Сторон по Контракту, в том числе гарантийных обязательств Исполнителя.</w:t>
      </w:r>
    </w:p>
    <w:p w:rsidR="00F81D66" w:rsidRDefault="008E1711"/>
    <w:sectPr w:rsidR="00F81D66" w:rsidSect="0029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32085"/>
    <w:rsid w:val="00032085"/>
    <w:rsid w:val="00297205"/>
    <w:rsid w:val="0052713A"/>
    <w:rsid w:val="005E3203"/>
    <w:rsid w:val="008E1711"/>
    <w:rsid w:val="009E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1502</Words>
  <Characters>8568</Characters>
  <Application>Microsoft Office Word</Application>
  <DocSecurity>0</DocSecurity>
  <Lines>71</Lines>
  <Paragraphs>20</Paragraphs>
  <ScaleCrop>false</ScaleCrop>
  <Company/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 Альбина Пшимафовна</dc:creator>
  <cp:lastModifiedBy>001ZHukovaAE</cp:lastModifiedBy>
  <cp:revision>2</cp:revision>
  <dcterms:created xsi:type="dcterms:W3CDTF">2024-08-14T06:55:00Z</dcterms:created>
  <dcterms:modified xsi:type="dcterms:W3CDTF">2024-08-14T06:55:00Z</dcterms:modified>
</cp:coreProperties>
</file>