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E9" w:rsidRPr="00995143" w:rsidRDefault="00BD7FE9" w:rsidP="00BD7FE9">
      <w:pPr>
        <w:numPr>
          <w:ilvl w:val="0"/>
          <w:numId w:val="1"/>
        </w:numPr>
        <w:tabs>
          <w:tab w:val="left" w:pos="567"/>
        </w:tabs>
        <w:jc w:val="right"/>
        <w:rPr>
          <w:i/>
        </w:rPr>
      </w:pPr>
      <w:r w:rsidRPr="00995143">
        <w:rPr>
          <w:i/>
        </w:rPr>
        <w:t xml:space="preserve">Приложение № </w:t>
      </w:r>
      <w:r>
        <w:rPr>
          <w:i/>
        </w:rPr>
        <w:t>1</w:t>
      </w:r>
      <w:r w:rsidRPr="00995143">
        <w:rPr>
          <w:i/>
        </w:rPr>
        <w:t xml:space="preserve"> </w:t>
      </w:r>
    </w:p>
    <w:p w:rsidR="00BD7FE9" w:rsidRDefault="00BD7FE9" w:rsidP="00BD7FE9">
      <w:pPr>
        <w:jc w:val="right"/>
        <w:rPr>
          <w:i/>
        </w:rPr>
      </w:pPr>
      <w:r w:rsidRPr="00995143">
        <w:rPr>
          <w:i/>
        </w:rPr>
        <w:t>к извещению о проведении закупки</w:t>
      </w:r>
    </w:p>
    <w:p w:rsidR="00BD7FE9" w:rsidRDefault="00BD7FE9" w:rsidP="00BD7FE9">
      <w:pPr>
        <w:jc w:val="center"/>
        <w:rPr>
          <w:b/>
        </w:rPr>
      </w:pPr>
    </w:p>
    <w:p w:rsidR="00BD7FE9" w:rsidRDefault="00BD7FE9" w:rsidP="00BD7FE9">
      <w:pPr>
        <w:jc w:val="center"/>
        <w:rPr>
          <w:b/>
        </w:rPr>
      </w:pPr>
      <w:r>
        <w:rPr>
          <w:b/>
        </w:rPr>
        <w:t xml:space="preserve">Описание объекта закупки (техническое задание) </w:t>
      </w:r>
    </w:p>
    <w:p w:rsidR="00BD7FE9" w:rsidRDefault="00BD7FE9" w:rsidP="00BD7FE9">
      <w:pPr>
        <w:jc w:val="center"/>
        <w:rPr>
          <w:b/>
        </w:rPr>
      </w:pPr>
      <w:r>
        <w:rPr>
          <w:b/>
        </w:rPr>
        <w:t xml:space="preserve">на </w:t>
      </w:r>
      <w:r w:rsidRPr="00BC7DE5">
        <w:rPr>
          <w:b/>
        </w:rPr>
        <w:t>поставку телефонных устройств с функцией видеосвязи, навигации и с текстовым выходом</w:t>
      </w:r>
      <w:r>
        <w:t xml:space="preserve"> </w:t>
      </w:r>
      <w:r w:rsidRPr="00C53A2C">
        <w:rPr>
          <w:b/>
        </w:rPr>
        <w:t xml:space="preserve">(далее – Товар) для социального обеспечения граждан (далее – Получатели) </w:t>
      </w:r>
    </w:p>
    <w:p w:rsidR="00BD7FE9" w:rsidRDefault="00BD7FE9" w:rsidP="00BD7FE9">
      <w:pPr>
        <w:jc w:val="center"/>
        <w:rPr>
          <w:b/>
        </w:rPr>
      </w:pPr>
      <w:r w:rsidRPr="00C53A2C">
        <w:rPr>
          <w:b/>
        </w:rPr>
        <w:t>в 202</w:t>
      </w:r>
      <w:r>
        <w:rPr>
          <w:b/>
        </w:rPr>
        <w:t>5</w:t>
      </w:r>
      <w:r w:rsidRPr="00C53A2C">
        <w:rPr>
          <w:b/>
        </w:rPr>
        <w:t xml:space="preserve"> году</w:t>
      </w:r>
    </w:p>
    <w:p w:rsidR="00BD7FE9" w:rsidRDefault="00BD7FE9" w:rsidP="00BD7FE9">
      <w:pPr>
        <w:jc w:val="center"/>
        <w:rPr>
          <w:b/>
        </w:rPr>
      </w:pPr>
    </w:p>
    <w:p w:rsidR="00BD7FE9" w:rsidRPr="00573DF5" w:rsidRDefault="00BD7FE9" w:rsidP="00BD7FE9">
      <w:pPr>
        <w:jc w:val="both"/>
        <w:rPr>
          <w:color w:val="FF0000"/>
        </w:rPr>
      </w:pPr>
      <w:r w:rsidRPr="00573DF5">
        <w:rPr>
          <w:b/>
        </w:rPr>
        <w:t>Срок поставки Товара Получателям:</w:t>
      </w:r>
      <w:r w:rsidRPr="00573DF5">
        <w:t xml:space="preserve"> с даты получения от Заказчика реестра получателей Товара </w:t>
      </w:r>
      <w:r>
        <w:t xml:space="preserve">не ранее 09.01.2025, и </w:t>
      </w:r>
      <w:r w:rsidRPr="00573DF5">
        <w:t xml:space="preserve">до </w:t>
      </w:r>
      <w:r>
        <w:t>31.08.2025 (включительно)</w:t>
      </w:r>
    </w:p>
    <w:p w:rsidR="00BD7FE9" w:rsidRDefault="00BD7FE9" w:rsidP="00BD7FE9">
      <w:pPr>
        <w:jc w:val="both"/>
      </w:pPr>
      <w:r w:rsidRPr="00573DF5">
        <w:rPr>
          <w:b/>
        </w:rPr>
        <w:t>Место доставки Товара:</w:t>
      </w:r>
      <w:r w:rsidRPr="00573DF5">
        <w:t xml:space="preserve"> Санкт-Петербург и Ленинградская область.</w:t>
      </w:r>
    </w:p>
    <w:p w:rsidR="00BD7FE9" w:rsidRPr="00573DF5" w:rsidRDefault="00BD7FE9" w:rsidP="00BD7FE9">
      <w:pPr>
        <w:jc w:val="center"/>
        <w:rPr>
          <w:b/>
        </w:rPr>
      </w:pPr>
    </w:p>
    <w:p w:rsidR="00BD7FE9" w:rsidRPr="00823937" w:rsidRDefault="00BD7FE9" w:rsidP="00BD7FE9">
      <w:pPr>
        <w:pStyle w:val="a4"/>
        <w:numPr>
          <w:ilvl w:val="0"/>
          <w:numId w:val="3"/>
        </w:numPr>
        <w:spacing w:after="0" w:line="240" w:lineRule="auto"/>
        <w:ind w:left="0" w:firstLine="0"/>
        <w:jc w:val="both"/>
        <w:rPr>
          <w:rFonts w:ascii="Times New Roman" w:eastAsia="Calibri" w:hAnsi="Times New Roman" w:cs="Times New Roman"/>
          <w:sz w:val="24"/>
          <w:szCs w:val="24"/>
          <w:lang w:eastAsia="ru-RU"/>
        </w:rPr>
      </w:pPr>
      <w:r w:rsidRPr="00823937">
        <w:rPr>
          <w:rFonts w:ascii="Times New Roman" w:eastAsia="Calibri" w:hAnsi="Times New Roman" w:cs="Times New Roman"/>
          <w:sz w:val="24"/>
          <w:szCs w:val="24"/>
          <w:lang w:eastAsia="ru-RU"/>
        </w:rPr>
        <w:t>Поставщик обязан обеспечить поступление Товара по наименованию, в количестве и в сроки, определенные календарным планом:</w:t>
      </w:r>
    </w:p>
    <w:p w:rsidR="00BD7FE9" w:rsidRPr="00573DF5" w:rsidRDefault="00BD7FE9" w:rsidP="00BD7FE9">
      <w:pPr>
        <w:ind w:left="360"/>
        <w:jc w:val="both"/>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94"/>
        <w:gridCol w:w="4536"/>
        <w:gridCol w:w="1417"/>
      </w:tblGrid>
      <w:tr w:rsidR="00BD7FE9" w:rsidTr="00BD7FE9">
        <w:trPr>
          <w:trHeight w:val="463"/>
        </w:trPr>
        <w:tc>
          <w:tcPr>
            <w:tcW w:w="562" w:type="dxa"/>
          </w:tcPr>
          <w:p w:rsidR="00BD7FE9" w:rsidRPr="00573DF5" w:rsidRDefault="00BD7FE9" w:rsidP="00D1386F">
            <w:pPr>
              <w:autoSpaceDE w:val="0"/>
              <w:autoSpaceDN w:val="0"/>
              <w:adjustRightInd w:val="0"/>
              <w:spacing w:line="16" w:lineRule="atLeast"/>
              <w:jc w:val="center"/>
            </w:pPr>
            <w:r w:rsidRPr="00573DF5">
              <w:t>№ п/п</w:t>
            </w:r>
          </w:p>
        </w:tc>
        <w:tc>
          <w:tcPr>
            <w:tcW w:w="2694" w:type="dxa"/>
          </w:tcPr>
          <w:p w:rsidR="00BD7FE9" w:rsidRPr="00573DF5" w:rsidRDefault="00BD7FE9" w:rsidP="00D1386F">
            <w:pPr>
              <w:autoSpaceDE w:val="0"/>
              <w:autoSpaceDN w:val="0"/>
              <w:adjustRightInd w:val="0"/>
              <w:spacing w:line="16" w:lineRule="atLeast"/>
              <w:jc w:val="center"/>
            </w:pPr>
            <w:r w:rsidRPr="00573DF5">
              <w:t>Наименование Товара</w:t>
            </w:r>
          </w:p>
        </w:tc>
        <w:tc>
          <w:tcPr>
            <w:tcW w:w="4536" w:type="dxa"/>
          </w:tcPr>
          <w:p w:rsidR="00BD7FE9" w:rsidRPr="00573DF5" w:rsidRDefault="00BD7FE9" w:rsidP="00D1386F">
            <w:pPr>
              <w:autoSpaceDE w:val="0"/>
              <w:autoSpaceDN w:val="0"/>
              <w:adjustRightInd w:val="0"/>
              <w:spacing w:line="16" w:lineRule="atLeast"/>
              <w:jc w:val="center"/>
            </w:pPr>
            <w:r>
              <w:t>Периоды поставки на 2025</w:t>
            </w:r>
            <w:r w:rsidRPr="00573DF5">
              <w:t xml:space="preserve"> год</w:t>
            </w:r>
          </w:p>
        </w:tc>
        <w:tc>
          <w:tcPr>
            <w:tcW w:w="1417" w:type="dxa"/>
          </w:tcPr>
          <w:p w:rsidR="00BD7FE9" w:rsidRPr="00573DF5" w:rsidRDefault="00BD7FE9" w:rsidP="00D1386F">
            <w:pPr>
              <w:autoSpaceDE w:val="0"/>
              <w:autoSpaceDN w:val="0"/>
              <w:adjustRightInd w:val="0"/>
              <w:spacing w:line="16" w:lineRule="atLeast"/>
              <w:jc w:val="center"/>
              <w:rPr>
                <w:lang w:val="en-US"/>
              </w:rPr>
            </w:pPr>
            <w:r w:rsidRPr="00573DF5">
              <w:t>Кол-во</w:t>
            </w:r>
          </w:p>
          <w:p w:rsidR="00BD7FE9" w:rsidRPr="00573DF5" w:rsidRDefault="00BD7FE9" w:rsidP="00D1386F">
            <w:pPr>
              <w:autoSpaceDE w:val="0"/>
              <w:autoSpaceDN w:val="0"/>
              <w:adjustRightInd w:val="0"/>
              <w:spacing w:line="16" w:lineRule="atLeast"/>
              <w:jc w:val="center"/>
            </w:pPr>
            <w:r w:rsidRPr="00573DF5">
              <w:t>(шт.)</w:t>
            </w:r>
          </w:p>
        </w:tc>
      </w:tr>
      <w:tr w:rsidR="00BD7FE9" w:rsidTr="00BD7FE9">
        <w:trPr>
          <w:trHeight w:val="555"/>
        </w:trPr>
        <w:tc>
          <w:tcPr>
            <w:tcW w:w="562" w:type="dxa"/>
            <w:vMerge w:val="restart"/>
          </w:tcPr>
          <w:p w:rsidR="00BD7FE9" w:rsidRPr="00573DF5" w:rsidRDefault="00BD7FE9" w:rsidP="00D1386F">
            <w:pPr>
              <w:autoSpaceDE w:val="0"/>
              <w:autoSpaceDN w:val="0"/>
              <w:adjustRightInd w:val="0"/>
              <w:jc w:val="center"/>
            </w:pPr>
            <w:r>
              <w:t>1.</w:t>
            </w:r>
          </w:p>
        </w:tc>
        <w:tc>
          <w:tcPr>
            <w:tcW w:w="2694" w:type="dxa"/>
            <w:vMerge w:val="restart"/>
          </w:tcPr>
          <w:p w:rsidR="00BD7FE9" w:rsidRPr="00573DF5" w:rsidRDefault="00BD7FE9" w:rsidP="00D1386F">
            <w:pPr>
              <w:suppressAutoHyphens/>
              <w:spacing w:line="16" w:lineRule="atLeast"/>
            </w:pPr>
            <w:r w:rsidRPr="00573DF5">
              <w:t>Телефонное устройство с функцией видеосвязи, навигации и с текстовым выходом</w:t>
            </w:r>
          </w:p>
        </w:tc>
        <w:tc>
          <w:tcPr>
            <w:tcW w:w="4536" w:type="dxa"/>
          </w:tcPr>
          <w:p w:rsidR="00BD7FE9" w:rsidRPr="00573DF5" w:rsidRDefault="00BD7FE9" w:rsidP="00D1386F">
            <w:pPr>
              <w:autoSpaceDE w:val="0"/>
              <w:autoSpaceDN w:val="0"/>
              <w:adjustRightInd w:val="0"/>
              <w:spacing w:line="16" w:lineRule="atLeast"/>
              <w:jc w:val="center"/>
            </w:pPr>
            <w:r>
              <w:t xml:space="preserve">В течение 2 </w:t>
            </w:r>
            <w:r w:rsidRPr="00573DF5">
              <w:t>(</w:t>
            </w:r>
            <w:r>
              <w:t>двух</w:t>
            </w:r>
            <w:r w:rsidRPr="00573DF5">
              <w:t xml:space="preserve">) </w:t>
            </w:r>
            <w:r>
              <w:t>рабочих</w:t>
            </w:r>
            <w:r w:rsidRPr="00573DF5">
              <w:t xml:space="preserve"> дней с даты заключ</w:t>
            </w:r>
            <w:r>
              <w:t>ения государственного контракта, но не ранее 09.01.2025</w:t>
            </w:r>
          </w:p>
        </w:tc>
        <w:tc>
          <w:tcPr>
            <w:tcW w:w="1417" w:type="dxa"/>
          </w:tcPr>
          <w:p w:rsidR="00BD7FE9" w:rsidRPr="00573DF5" w:rsidRDefault="00BD7FE9" w:rsidP="00D1386F">
            <w:pPr>
              <w:autoSpaceDE w:val="0"/>
              <w:autoSpaceDN w:val="0"/>
              <w:adjustRightInd w:val="0"/>
              <w:jc w:val="center"/>
            </w:pPr>
            <w:r>
              <w:t>5</w:t>
            </w:r>
          </w:p>
        </w:tc>
      </w:tr>
      <w:tr w:rsidR="00BD7FE9" w:rsidTr="00BD7FE9">
        <w:trPr>
          <w:trHeight w:val="555"/>
        </w:trPr>
        <w:tc>
          <w:tcPr>
            <w:tcW w:w="562" w:type="dxa"/>
            <w:vMerge/>
          </w:tcPr>
          <w:p w:rsidR="00BD7FE9" w:rsidRPr="00573DF5" w:rsidRDefault="00BD7FE9" w:rsidP="00D1386F">
            <w:pPr>
              <w:autoSpaceDE w:val="0"/>
              <w:autoSpaceDN w:val="0"/>
              <w:adjustRightInd w:val="0"/>
              <w:jc w:val="center"/>
            </w:pPr>
          </w:p>
        </w:tc>
        <w:tc>
          <w:tcPr>
            <w:tcW w:w="2694" w:type="dxa"/>
            <w:vMerge/>
          </w:tcPr>
          <w:p w:rsidR="00BD7FE9" w:rsidRPr="00573DF5" w:rsidRDefault="00BD7FE9" w:rsidP="00D1386F">
            <w:pPr>
              <w:suppressAutoHyphens/>
              <w:spacing w:line="16" w:lineRule="atLeast"/>
            </w:pPr>
          </w:p>
        </w:tc>
        <w:tc>
          <w:tcPr>
            <w:tcW w:w="4536" w:type="dxa"/>
          </w:tcPr>
          <w:p w:rsidR="00BD7FE9" w:rsidRPr="00573DF5" w:rsidRDefault="00BD7FE9" w:rsidP="00D1386F">
            <w:pPr>
              <w:autoSpaceDE w:val="0"/>
              <w:autoSpaceDN w:val="0"/>
              <w:adjustRightInd w:val="0"/>
              <w:spacing w:line="16" w:lineRule="atLeast"/>
              <w:jc w:val="center"/>
            </w:pPr>
            <w:r w:rsidRPr="00573DF5">
              <w:t xml:space="preserve">В течение 15 (пятнадцати) </w:t>
            </w:r>
            <w:r>
              <w:t>рабочих</w:t>
            </w:r>
            <w:r w:rsidRPr="00573DF5">
              <w:t xml:space="preserve"> дней с даты заключения государственного контракта</w:t>
            </w:r>
            <w:r>
              <w:t>, но не ранее 09.01.2025</w:t>
            </w:r>
          </w:p>
        </w:tc>
        <w:tc>
          <w:tcPr>
            <w:tcW w:w="1417" w:type="dxa"/>
          </w:tcPr>
          <w:p w:rsidR="00BD7FE9" w:rsidRDefault="00BD7FE9" w:rsidP="00D1386F">
            <w:pPr>
              <w:autoSpaceDE w:val="0"/>
              <w:autoSpaceDN w:val="0"/>
              <w:adjustRightInd w:val="0"/>
              <w:jc w:val="center"/>
            </w:pPr>
            <w:r>
              <w:t>708</w:t>
            </w:r>
          </w:p>
        </w:tc>
      </w:tr>
      <w:tr w:rsidR="00BD7FE9" w:rsidTr="00BD7FE9">
        <w:trPr>
          <w:trHeight w:val="59"/>
        </w:trPr>
        <w:tc>
          <w:tcPr>
            <w:tcW w:w="7792" w:type="dxa"/>
            <w:gridSpan w:val="3"/>
          </w:tcPr>
          <w:p w:rsidR="00BD7FE9" w:rsidRPr="00573DF5" w:rsidRDefault="00BD7FE9" w:rsidP="00D1386F">
            <w:pPr>
              <w:autoSpaceDE w:val="0"/>
              <w:autoSpaceDN w:val="0"/>
              <w:adjustRightInd w:val="0"/>
              <w:rPr>
                <w:b/>
              </w:rPr>
            </w:pPr>
            <w:r w:rsidRPr="00573DF5">
              <w:rPr>
                <w:b/>
              </w:rPr>
              <w:t>ИТОГО:</w:t>
            </w:r>
          </w:p>
        </w:tc>
        <w:tc>
          <w:tcPr>
            <w:tcW w:w="1417" w:type="dxa"/>
          </w:tcPr>
          <w:p w:rsidR="00BD7FE9" w:rsidRPr="00573DF5" w:rsidRDefault="00BD7FE9" w:rsidP="00D1386F">
            <w:pPr>
              <w:autoSpaceDE w:val="0"/>
              <w:autoSpaceDN w:val="0"/>
              <w:adjustRightInd w:val="0"/>
              <w:jc w:val="center"/>
              <w:rPr>
                <w:b/>
              </w:rPr>
            </w:pPr>
            <w:r>
              <w:rPr>
                <w:b/>
              </w:rPr>
              <w:t>713</w:t>
            </w:r>
          </w:p>
        </w:tc>
      </w:tr>
    </w:tbl>
    <w:p w:rsidR="00BD7FE9" w:rsidRPr="00573DF5" w:rsidRDefault="00BD7FE9" w:rsidP="00BD7FE9">
      <w:pPr>
        <w:jc w:val="both"/>
      </w:pPr>
    </w:p>
    <w:p w:rsidR="00BD7FE9" w:rsidRDefault="00BD7FE9" w:rsidP="00BD7FE9">
      <w:pPr>
        <w:jc w:val="both"/>
      </w:pPr>
    </w:p>
    <w:p w:rsidR="00BD7FE9" w:rsidRPr="00573DF5" w:rsidRDefault="00BD7FE9" w:rsidP="00BD7FE9">
      <w:pPr>
        <w:jc w:val="both"/>
      </w:pPr>
      <w:r w:rsidRPr="00573DF5">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BD7FE9" w:rsidRPr="00573DF5" w:rsidRDefault="00BD7FE9" w:rsidP="00BD7FE9">
      <w:pPr>
        <w:jc w:val="both"/>
      </w:pPr>
    </w:p>
    <w:p w:rsidR="00BD7FE9" w:rsidRPr="00573DF5" w:rsidRDefault="00BD7FE9" w:rsidP="00BD7FE9">
      <w:pPr>
        <w:jc w:val="both"/>
      </w:pPr>
      <w:r w:rsidRPr="00573DF5">
        <w:t>3.Товар должен отвечать следующим требованиям:</w:t>
      </w:r>
    </w:p>
    <w:p w:rsidR="00BD7FE9" w:rsidRPr="00573DF5" w:rsidRDefault="00BD7FE9" w:rsidP="00BD7FE9">
      <w:pPr>
        <w:jc w:val="both"/>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701"/>
        <w:gridCol w:w="2693"/>
        <w:gridCol w:w="2410"/>
        <w:gridCol w:w="709"/>
      </w:tblGrid>
      <w:tr w:rsidR="00BD7FE9" w:rsidTr="00D1386F">
        <w:trPr>
          <w:trHeight w:val="20"/>
          <w:jc w:val="center"/>
        </w:trPr>
        <w:tc>
          <w:tcPr>
            <w:tcW w:w="562" w:type="dxa"/>
          </w:tcPr>
          <w:p w:rsidR="00BD7FE9" w:rsidRPr="00573DF5" w:rsidRDefault="00BD7FE9" w:rsidP="00D1386F">
            <w:pPr>
              <w:jc w:val="center"/>
            </w:pPr>
            <w:r w:rsidRPr="00573DF5">
              <w:t>№ п/п</w:t>
            </w:r>
          </w:p>
        </w:tc>
        <w:tc>
          <w:tcPr>
            <w:tcW w:w="1560" w:type="dxa"/>
          </w:tcPr>
          <w:p w:rsidR="00BD7FE9" w:rsidRPr="00573DF5" w:rsidRDefault="00BD7FE9" w:rsidP="00D1386F">
            <w:pPr>
              <w:jc w:val="center"/>
            </w:pPr>
            <w:r w:rsidRPr="00573DF5">
              <w:t xml:space="preserve">Наименование Товара </w:t>
            </w:r>
          </w:p>
        </w:tc>
        <w:tc>
          <w:tcPr>
            <w:tcW w:w="1701" w:type="dxa"/>
          </w:tcPr>
          <w:p w:rsidR="00BD7FE9" w:rsidRPr="00573DF5" w:rsidRDefault="00BD7FE9" w:rsidP="00D1386F">
            <w:pPr>
              <w:jc w:val="center"/>
            </w:pPr>
            <w:r w:rsidRPr="0022741C">
              <w:rPr>
                <w:color w:val="000000"/>
                <w:sz w:val="22"/>
                <w:szCs w:val="22"/>
              </w:rPr>
              <w:t>Наименование Товара по КТРУ</w:t>
            </w:r>
          </w:p>
        </w:tc>
        <w:tc>
          <w:tcPr>
            <w:tcW w:w="2693" w:type="dxa"/>
          </w:tcPr>
          <w:p w:rsidR="00BD7FE9" w:rsidRPr="00573DF5" w:rsidRDefault="00BD7FE9" w:rsidP="00D1386F">
            <w:pPr>
              <w:jc w:val="center"/>
            </w:pPr>
            <w:r w:rsidRPr="00573DF5">
              <w:t>Характеристики Товара</w:t>
            </w:r>
          </w:p>
        </w:tc>
        <w:tc>
          <w:tcPr>
            <w:tcW w:w="2410" w:type="dxa"/>
          </w:tcPr>
          <w:p w:rsidR="00BD7FE9" w:rsidRPr="00573DF5" w:rsidRDefault="00BD7FE9" w:rsidP="00D1386F">
            <w:pPr>
              <w:suppressAutoHyphens/>
              <w:jc w:val="center"/>
              <w:rPr>
                <w:kern w:val="1"/>
                <w:lang w:eastAsia="hi-IN" w:bidi="hi-IN"/>
              </w:rPr>
            </w:pPr>
            <w:r>
              <w:rPr>
                <w:kern w:val="1"/>
                <w:lang w:eastAsia="hi-IN" w:bidi="hi-IN"/>
              </w:rPr>
              <w:t xml:space="preserve">Значение </w:t>
            </w:r>
            <w:r w:rsidRPr="00573DF5">
              <w:rPr>
                <w:kern w:val="1"/>
                <w:lang w:eastAsia="hi-IN" w:bidi="hi-IN"/>
              </w:rPr>
              <w:t>характеристики</w:t>
            </w:r>
          </w:p>
        </w:tc>
        <w:tc>
          <w:tcPr>
            <w:tcW w:w="709" w:type="dxa"/>
          </w:tcPr>
          <w:p w:rsidR="00BD7FE9" w:rsidRPr="00573DF5" w:rsidRDefault="00BD7FE9" w:rsidP="00D1386F">
            <w:pPr>
              <w:jc w:val="center"/>
            </w:pPr>
            <w:r w:rsidRPr="00573DF5">
              <w:rPr>
                <w:kern w:val="1"/>
                <w:lang w:eastAsia="hi-IN" w:bidi="hi-IN"/>
              </w:rPr>
              <w:t>Кол-во, шт.</w:t>
            </w:r>
          </w:p>
        </w:tc>
      </w:tr>
      <w:tr w:rsidR="00BD7FE9" w:rsidTr="00D1386F">
        <w:trPr>
          <w:trHeight w:val="562"/>
          <w:jc w:val="center"/>
        </w:trPr>
        <w:tc>
          <w:tcPr>
            <w:tcW w:w="562" w:type="dxa"/>
            <w:vMerge w:val="restart"/>
          </w:tcPr>
          <w:p w:rsidR="00BD7FE9" w:rsidRPr="00573DF5" w:rsidRDefault="00BD7FE9" w:rsidP="00D1386F">
            <w:pPr>
              <w:widowControl w:val="0"/>
              <w:tabs>
                <w:tab w:val="left" w:pos="0"/>
              </w:tabs>
              <w:suppressAutoHyphens/>
              <w:snapToGrid w:val="0"/>
              <w:jc w:val="center"/>
            </w:pPr>
            <w:r>
              <w:t>1</w:t>
            </w:r>
            <w:r w:rsidRPr="00573DF5">
              <w:t>.</w:t>
            </w:r>
          </w:p>
        </w:tc>
        <w:tc>
          <w:tcPr>
            <w:tcW w:w="1560" w:type="dxa"/>
            <w:vMerge w:val="restart"/>
            <w:shd w:val="clear" w:color="auto" w:fill="auto"/>
          </w:tcPr>
          <w:p w:rsidR="00BD7FE9" w:rsidRPr="00573DF5" w:rsidRDefault="00BD7FE9" w:rsidP="00D1386F">
            <w:pPr>
              <w:widowControl w:val="0"/>
              <w:tabs>
                <w:tab w:val="left" w:pos="0"/>
              </w:tabs>
              <w:suppressAutoHyphens/>
              <w:snapToGrid w:val="0"/>
            </w:pPr>
            <w:r w:rsidRPr="00573DF5">
              <w:t>Телефонное устройство с функцией видеосвязи, навигации и с текстовым выходом</w:t>
            </w:r>
          </w:p>
        </w:tc>
        <w:tc>
          <w:tcPr>
            <w:tcW w:w="1701" w:type="dxa"/>
            <w:vMerge w:val="restart"/>
          </w:tcPr>
          <w:p w:rsidR="00BD7FE9" w:rsidRDefault="00BD7FE9" w:rsidP="00D1386F">
            <w:r w:rsidRPr="00102B5A">
              <w:t>Телефонное устройство с функцией видеосвязи, навигации и с текстовым выходом</w:t>
            </w:r>
          </w:p>
        </w:tc>
        <w:tc>
          <w:tcPr>
            <w:tcW w:w="2693" w:type="dxa"/>
          </w:tcPr>
          <w:p w:rsidR="00BD7FE9" w:rsidRPr="00573DF5" w:rsidRDefault="00BD7FE9" w:rsidP="00D1386F">
            <w:r>
              <w:t>Наличие слота для установки карты памяти</w:t>
            </w:r>
          </w:p>
        </w:tc>
        <w:tc>
          <w:tcPr>
            <w:tcW w:w="2410" w:type="dxa"/>
          </w:tcPr>
          <w:p w:rsidR="00BD7FE9" w:rsidRPr="00573DF5" w:rsidRDefault="00BD7FE9" w:rsidP="00D1386F">
            <w:r>
              <w:t>Да</w:t>
            </w:r>
          </w:p>
        </w:tc>
        <w:tc>
          <w:tcPr>
            <w:tcW w:w="709" w:type="dxa"/>
            <w:vMerge w:val="restart"/>
          </w:tcPr>
          <w:p w:rsidR="00BD7FE9" w:rsidRDefault="00BD7FE9" w:rsidP="00D1386F">
            <w:pPr>
              <w:snapToGrid w:val="0"/>
              <w:jc w:val="center"/>
            </w:pPr>
            <w:r>
              <w:t>713</w:t>
            </w: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tc>
        <w:tc>
          <w:tcPr>
            <w:tcW w:w="2693" w:type="dxa"/>
          </w:tcPr>
          <w:p w:rsidR="00BD7FE9" w:rsidRDefault="00BD7FE9" w:rsidP="00D1386F">
            <w:r w:rsidRPr="00AF7AE7">
              <w:t xml:space="preserve">Возможность подключения к беспроводной сети </w:t>
            </w:r>
          </w:p>
          <w:p w:rsidR="00BD7FE9" w:rsidRPr="00DA36DD" w:rsidRDefault="00BD7FE9" w:rsidP="00D1386F">
            <w:r w:rsidRPr="00AF7AE7">
              <w:t>(</w:t>
            </w:r>
            <w:proofErr w:type="spellStart"/>
            <w:r w:rsidRPr="00AF7AE7">
              <w:t>Wi-Fi</w:t>
            </w:r>
            <w:proofErr w:type="spellEnd"/>
            <w:r w:rsidRPr="00AF7AE7">
              <w:t xml:space="preserve"> точка доступа)</w:t>
            </w:r>
          </w:p>
        </w:tc>
        <w:tc>
          <w:tcPr>
            <w:tcW w:w="2410" w:type="dxa"/>
          </w:tcPr>
          <w:p w:rsidR="00BD7FE9" w:rsidRPr="00573DF5" w:rsidRDefault="00BD7FE9" w:rsidP="00D1386F">
            <w:r>
              <w:t>Да</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14B7A" w:rsidRDefault="00BD7FE9" w:rsidP="00D1386F">
            <w:pPr>
              <w:snapToGrid w:val="0"/>
              <w:jc w:val="both"/>
            </w:pPr>
          </w:p>
        </w:tc>
        <w:tc>
          <w:tcPr>
            <w:tcW w:w="2693" w:type="dxa"/>
          </w:tcPr>
          <w:p w:rsidR="00BD7FE9" w:rsidRPr="00AF7AE7" w:rsidRDefault="00BD7FE9" w:rsidP="00D1386F">
            <w:pPr>
              <w:snapToGrid w:val="0"/>
              <w:jc w:val="both"/>
              <w:rPr>
                <w:color w:val="FF0000"/>
              </w:rPr>
            </w:pPr>
            <w:r w:rsidRPr="00A14B7A">
              <w:t>Возможность автоматического поворота экрана</w:t>
            </w:r>
          </w:p>
        </w:tc>
        <w:tc>
          <w:tcPr>
            <w:tcW w:w="2410" w:type="dxa"/>
          </w:tcPr>
          <w:p w:rsidR="00BD7FE9" w:rsidRPr="00573DF5" w:rsidRDefault="00BD7FE9" w:rsidP="00D1386F">
            <w:r>
              <w:t>Да</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7353D" w:rsidRDefault="00BD7FE9" w:rsidP="00D1386F">
            <w:pPr>
              <w:jc w:val="both"/>
              <w:rPr>
                <w:color w:val="000000" w:themeColor="text1"/>
              </w:rPr>
            </w:pPr>
          </w:p>
        </w:tc>
        <w:tc>
          <w:tcPr>
            <w:tcW w:w="2693" w:type="dxa"/>
          </w:tcPr>
          <w:p w:rsidR="00BD7FE9" w:rsidRPr="00A14B7A" w:rsidRDefault="00BD7FE9" w:rsidP="00D1386F">
            <w:pPr>
              <w:jc w:val="both"/>
              <w:rPr>
                <w:color w:val="FF0000"/>
              </w:rPr>
            </w:pPr>
            <w:r w:rsidRPr="00A7353D">
              <w:rPr>
                <w:color w:val="000000" w:themeColor="text1"/>
              </w:rPr>
              <w:t>Наличие клавиатуры с алфавитом на русском языке</w:t>
            </w:r>
          </w:p>
        </w:tc>
        <w:tc>
          <w:tcPr>
            <w:tcW w:w="2410" w:type="dxa"/>
          </w:tcPr>
          <w:p w:rsidR="00BD7FE9" w:rsidRPr="00573DF5" w:rsidRDefault="00BD7FE9" w:rsidP="00D1386F">
            <w:r>
              <w:t>Да</w:t>
            </w:r>
          </w:p>
        </w:tc>
        <w:tc>
          <w:tcPr>
            <w:tcW w:w="709" w:type="dxa"/>
            <w:vMerge/>
          </w:tcPr>
          <w:p w:rsidR="00BD7FE9" w:rsidRDefault="00BD7FE9" w:rsidP="00D1386F">
            <w:pPr>
              <w:snapToGrid w:val="0"/>
            </w:pPr>
          </w:p>
        </w:tc>
      </w:tr>
      <w:tr w:rsidR="00BD7FE9" w:rsidTr="00D1386F">
        <w:trPr>
          <w:trHeight w:val="371"/>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val="restart"/>
          </w:tcPr>
          <w:p w:rsidR="00BD7FE9" w:rsidRPr="00A7353D" w:rsidRDefault="00BD7FE9" w:rsidP="00D1386F">
            <w:pPr>
              <w:snapToGrid w:val="0"/>
              <w:jc w:val="both"/>
              <w:rPr>
                <w:color w:val="000000" w:themeColor="text1"/>
              </w:rPr>
            </w:pPr>
            <w:r w:rsidRPr="00AF7AE7">
              <w:rPr>
                <w:color w:val="000000" w:themeColor="text1"/>
              </w:rPr>
              <w:t>Встроенные функции:</w:t>
            </w:r>
            <w:r>
              <w:rPr>
                <w:color w:val="000000" w:themeColor="text1"/>
              </w:rPr>
              <w:t xml:space="preserve"> </w:t>
            </w:r>
          </w:p>
        </w:tc>
        <w:tc>
          <w:tcPr>
            <w:tcW w:w="2410" w:type="dxa"/>
          </w:tcPr>
          <w:p w:rsidR="00BD7FE9" w:rsidRPr="00573DF5" w:rsidRDefault="00BD7FE9" w:rsidP="00D1386F">
            <w:pPr>
              <w:ind w:right="189"/>
            </w:pPr>
            <w:r w:rsidRPr="00AF7AE7">
              <w:t>Русский синтезатор речи</w:t>
            </w:r>
            <w:r>
              <w:t>;</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597380">
              <w:t>Видеокамера с автофокусом</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597380">
              <w:t>Система позиционирования и навигации: GPS/</w:t>
            </w:r>
            <w:proofErr w:type="spellStart"/>
            <w:r w:rsidRPr="00597380">
              <w:t>Глонасс</w:t>
            </w:r>
            <w:proofErr w:type="spellEnd"/>
            <w:r w:rsidRPr="00597380">
              <w:t>-приемник</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597380">
              <w:t>Русифицированное меню</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t>В</w:t>
            </w:r>
            <w:r w:rsidRPr="00597380">
              <w:t>спышка/подсв</w:t>
            </w:r>
            <w:r>
              <w:t>е</w:t>
            </w:r>
            <w:r w:rsidRPr="00597380">
              <w:t>тка</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597380">
              <w:t>Виброзвонок</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597380">
              <w:t>Датчик приближения</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597380">
              <w:t>Голосовое управление</w:t>
            </w:r>
          </w:p>
        </w:tc>
        <w:tc>
          <w:tcPr>
            <w:tcW w:w="709" w:type="dxa"/>
            <w:vMerge/>
          </w:tcPr>
          <w:p w:rsidR="00BD7FE9" w:rsidRDefault="00BD7FE9" w:rsidP="00D1386F">
            <w:pPr>
              <w:snapToGrid w:val="0"/>
            </w:pPr>
          </w:p>
        </w:tc>
      </w:tr>
      <w:tr w:rsidR="00BD7FE9" w:rsidTr="00D1386F">
        <w:trPr>
          <w:trHeight w:val="368"/>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F7AE7" w:rsidRDefault="00BD7FE9" w:rsidP="00D1386F">
            <w:pPr>
              <w:snapToGrid w:val="0"/>
              <w:jc w:val="both"/>
              <w:rPr>
                <w:color w:val="000000" w:themeColor="text1"/>
              </w:rPr>
            </w:pPr>
          </w:p>
        </w:tc>
        <w:tc>
          <w:tcPr>
            <w:tcW w:w="2693" w:type="dxa"/>
            <w:vMerge/>
          </w:tcPr>
          <w:p w:rsidR="00BD7FE9" w:rsidRPr="00AF7AE7" w:rsidRDefault="00BD7FE9" w:rsidP="00D1386F">
            <w:pPr>
              <w:snapToGrid w:val="0"/>
              <w:jc w:val="both"/>
              <w:rPr>
                <w:color w:val="000000" w:themeColor="text1"/>
              </w:rPr>
            </w:pPr>
          </w:p>
        </w:tc>
        <w:tc>
          <w:tcPr>
            <w:tcW w:w="2410" w:type="dxa"/>
          </w:tcPr>
          <w:p w:rsidR="00BD7FE9" w:rsidRPr="00573DF5" w:rsidRDefault="00BD7FE9" w:rsidP="00D1386F">
            <w:r w:rsidRPr="009C628B">
              <w:t>Распознавание речи</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9C628B" w:rsidRDefault="00BD7FE9" w:rsidP="00D1386F">
            <w:pPr>
              <w:snapToGrid w:val="0"/>
            </w:pPr>
          </w:p>
        </w:tc>
        <w:tc>
          <w:tcPr>
            <w:tcW w:w="2693" w:type="dxa"/>
          </w:tcPr>
          <w:p w:rsidR="00BD7FE9" w:rsidRPr="009C628B" w:rsidRDefault="00BD7FE9" w:rsidP="00D1386F">
            <w:pPr>
              <w:snapToGrid w:val="0"/>
            </w:pPr>
            <w:r w:rsidRPr="009C628B">
              <w:t xml:space="preserve">Количество ядер процессора </w:t>
            </w:r>
          </w:p>
        </w:tc>
        <w:tc>
          <w:tcPr>
            <w:tcW w:w="2410" w:type="dxa"/>
          </w:tcPr>
          <w:p w:rsidR="00BD7FE9" w:rsidRPr="009C628B" w:rsidRDefault="00BD7FE9" w:rsidP="00D1386F">
            <w:r w:rsidRPr="009C628B">
              <w:rPr>
                <w:rFonts w:ascii="Roboto" w:hAnsi="Roboto"/>
                <w:sz w:val="21"/>
                <w:szCs w:val="21"/>
                <w:shd w:val="clear" w:color="auto" w:fill="FFFFFF"/>
              </w:rPr>
              <w:t>≥</w:t>
            </w:r>
            <w:r>
              <w:t>8 шт</w:t>
            </w:r>
            <w:r w:rsidRPr="00A7353D">
              <w:rPr>
                <w:color w:val="000000" w:themeColor="text1"/>
              </w:rPr>
              <w:t>ук</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173C3F" w:rsidRDefault="00BD7FE9" w:rsidP="00D1386F">
            <w:pPr>
              <w:snapToGrid w:val="0"/>
              <w:jc w:val="both"/>
              <w:rPr>
                <w:color w:val="000000" w:themeColor="text1"/>
              </w:rPr>
            </w:pPr>
          </w:p>
        </w:tc>
        <w:tc>
          <w:tcPr>
            <w:tcW w:w="2693" w:type="dxa"/>
          </w:tcPr>
          <w:p w:rsidR="00BD7FE9" w:rsidRPr="00DA36DD" w:rsidRDefault="00BD7FE9" w:rsidP="00D1386F">
            <w:pPr>
              <w:snapToGrid w:val="0"/>
              <w:jc w:val="both"/>
            </w:pPr>
            <w:r w:rsidRPr="00173C3F">
              <w:rPr>
                <w:color w:val="000000" w:themeColor="text1"/>
              </w:rPr>
              <w:t>Наличие</w:t>
            </w:r>
            <w:r w:rsidRPr="009C628B">
              <w:t xml:space="preserve"> возможности поддержки программного обеспечения, позволяющего использовать функцию удаленной видеосвязи с переводчиком русского жестового языка</w:t>
            </w:r>
          </w:p>
        </w:tc>
        <w:tc>
          <w:tcPr>
            <w:tcW w:w="2410" w:type="dxa"/>
          </w:tcPr>
          <w:p w:rsidR="00BD7FE9" w:rsidRPr="00573DF5" w:rsidRDefault="00BD7FE9" w:rsidP="00D1386F">
            <w:r>
              <w:t>Да</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2F6825" w:rsidRDefault="00BD7FE9" w:rsidP="00D1386F"/>
        </w:tc>
        <w:tc>
          <w:tcPr>
            <w:tcW w:w="2693" w:type="dxa"/>
          </w:tcPr>
          <w:p w:rsidR="00BD7FE9" w:rsidRPr="00DA36DD" w:rsidRDefault="00BD7FE9" w:rsidP="00D1386F">
            <w:r w:rsidRPr="002F6825">
              <w:t>Наличие зарядного устройства</w:t>
            </w:r>
          </w:p>
        </w:tc>
        <w:tc>
          <w:tcPr>
            <w:tcW w:w="2410" w:type="dxa"/>
          </w:tcPr>
          <w:p w:rsidR="00BD7FE9" w:rsidRPr="00573DF5" w:rsidRDefault="00BD7FE9" w:rsidP="00D1386F">
            <w:r>
              <w:t>Да</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DA36DD" w:rsidRDefault="00BD7FE9" w:rsidP="00D1386F">
            <w:pPr>
              <w:shd w:val="clear" w:color="auto" w:fill="FFFFFF"/>
              <w:snapToGrid w:val="0"/>
              <w:jc w:val="both"/>
              <w:textAlignment w:val="baseline"/>
            </w:pPr>
          </w:p>
        </w:tc>
        <w:tc>
          <w:tcPr>
            <w:tcW w:w="2693" w:type="dxa"/>
          </w:tcPr>
          <w:p w:rsidR="00BD7FE9" w:rsidRPr="00173C3F" w:rsidRDefault="00BD7FE9" w:rsidP="00D1386F">
            <w:pPr>
              <w:shd w:val="clear" w:color="auto" w:fill="FFFFFF"/>
              <w:snapToGrid w:val="0"/>
              <w:jc w:val="both"/>
              <w:textAlignment w:val="baseline"/>
              <w:rPr>
                <w:color w:val="FF0000"/>
              </w:rPr>
            </w:pPr>
            <w:r w:rsidRPr="00DA36DD">
              <w:t xml:space="preserve">Поддерживаемые </w:t>
            </w:r>
            <w:r w:rsidRPr="00173C3F">
              <w:rPr>
                <w:color w:val="000000" w:themeColor="text1"/>
              </w:rPr>
              <w:t>стандарты</w:t>
            </w:r>
          </w:p>
          <w:p w:rsidR="00BD7FE9" w:rsidRPr="00DA36DD" w:rsidRDefault="00BD7FE9" w:rsidP="00D1386F">
            <w:pPr>
              <w:snapToGrid w:val="0"/>
              <w:jc w:val="both"/>
            </w:pPr>
          </w:p>
        </w:tc>
        <w:tc>
          <w:tcPr>
            <w:tcW w:w="2410" w:type="dxa"/>
          </w:tcPr>
          <w:p w:rsidR="00BD7FE9" w:rsidRPr="00173C3F" w:rsidRDefault="00BD7FE9" w:rsidP="00D1386F">
            <w:pPr>
              <w:rPr>
                <w:color w:val="000000" w:themeColor="text1"/>
              </w:rPr>
            </w:pPr>
            <w:r w:rsidRPr="00173C3F">
              <w:rPr>
                <w:color w:val="000000" w:themeColor="text1"/>
              </w:rPr>
              <w:t>4G (LTE)</w:t>
            </w:r>
          </w:p>
          <w:p w:rsidR="00BD7FE9" w:rsidRPr="00573DF5" w:rsidRDefault="00BD7FE9" w:rsidP="00D1386F">
            <w:r w:rsidRPr="00173C3F">
              <w:rPr>
                <w:color w:val="000000" w:themeColor="text1"/>
              </w:rPr>
              <w:t>GSM 900/1800/1900</w:t>
            </w:r>
          </w:p>
        </w:tc>
        <w:tc>
          <w:tcPr>
            <w:tcW w:w="709" w:type="dxa"/>
            <w:vMerge/>
          </w:tcPr>
          <w:p w:rsidR="00BD7FE9" w:rsidRDefault="00BD7FE9" w:rsidP="00D1386F">
            <w:pPr>
              <w:snapToGrid w:val="0"/>
            </w:pPr>
          </w:p>
        </w:tc>
      </w:tr>
      <w:tr w:rsidR="00BD7FE9"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2F6825" w:rsidRDefault="00BD7FE9" w:rsidP="00D1386F">
            <w:pPr>
              <w:snapToGrid w:val="0"/>
              <w:jc w:val="both"/>
            </w:pPr>
          </w:p>
        </w:tc>
        <w:tc>
          <w:tcPr>
            <w:tcW w:w="2693" w:type="dxa"/>
          </w:tcPr>
          <w:p w:rsidR="00BD7FE9" w:rsidRPr="00DA36DD" w:rsidRDefault="00BD7FE9" w:rsidP="00D1386F">
            <w:pPr>
              <w:snapToGrid w:val="0"/>
              <w:jc w:val="both"/>
            </w:pPr>
            <w:r w:rsidRPr="002F6825">
              <w:t xml:space="preserve">Объем оперативной памяти </w:t>
            </w:r>
          </w:p>
        </w:tc>
        <w:tc>
          <w:tcPr>
            <w:tcW w:w="2410" w:type="dxa"/>
          </w:tcPr>
          <w:p w:rsidR="00BD7FE9" w:rsidRPr="00573DF5" w:rsidRDefault="00BD7FE9" w:rsidP="00D1386F">
            <w:r w:rsidRPr="00173C3F">
              <w:rPr>
                <w:color w:val="000000" w:themeColor="text1"/>
              </w:rPr>
              <w:t xml:space="preserve">≥ </w:t>
            </w:r>
            <w:proofErr w:type="gramStart"/>
            <w:r w:rsidRPr="00173C3F">
              <w:rPr>
                <w:color w:val="000000" w:themeColor="text1"/>
              </w:rPr>
              <w:t>4  и</w:t>
            </w:r>
            <w:proofErr w:type="gramEnd"/>
            <w:r w:rsidRPr="00173C3F">
              <w:rPr>
                <w:color w:val="000000" w:themeColor="text1"/>
              </w:rPr>
              <w:t>  &lt; 8 Гигабайт</w:t>
            </w:r>
          </w:p>
        </w:tc>
        <w:tc>
          <w:tcPr>
            <w:tcW w:w="709" w:type="dxa"/>
            <w:vMerge/>
          </w:tcPr>
          <w:p w:rsidR="00BD7FE9" w:rsidRDefault="00BD7FE9" w:rsidP="00D1386F">
            <w:pPr>
              <w:snapToGrid w:val="0"/>
            </w:pPr>
          </w:p>
        </w:tc>
      </w:tr>
      <w:tr w:rsidR="00BD7FE9" w:rsidRPr="00173C3F" w:rsidTr="00D1386F">
        <w:trPr>
          <w:trHeight w:val="20"/>
          <w:jc w:val="center"/>
        </w:trPr>
        <w:tc>
          <w:tcPr>
            <w:tcW w:w="562" w:type="dxa"/>
            <w:vMerge/>
          </w:tcPr>
          <w:p w:rsidR="00BD7FE9" w:rsidRPr="00573DF5" w:rsidRDefault="00BD7FE9" w:rsidP="00D1386F">
            <w:pPr>
              <w:widowControl w:val="0"/>
              <w:tabs>
                <w:tab w:val="left" w:pos="0"/>
              </w:tabs>
              <w:suppressAutoHyphens/>
              <w:snapToGrid w:val="0"/>
              <w:jc w:val="center"/>
            </w:pPr>
          </w:p>
        </w:tc>
        <w:tc>
          <w:tcPr>
            <w:tcW w:w="1560" w:type="dxa"/>
            <w:vMerge/>
            <w:shd w:val="clear" w:color="auto" w:fill="auto"/>
          </w:tcPr>
          <w:p w:rsidR="00BD7FE9" w:rsidRPr="00573DF5" w:rsidRDefault="00BD7FE9" w:rsidP="00D1386F">
            <w:pPr>
              <w:widowControl w:val="0"/>
              <w:tabs>
                <w:tab w:val="left" w:pos="0"/>
              </w:tabs>
              <w:suppressAutoHyphens/>
              <w:snapToGrid w:val="0"/>
            </w:pPr>
          </w:p>
        </w:tc>
        <w:tc>
          <w:tcPr>
            <w:tcW w:w="1701" w:type="dxa"/>
            <w:vMerge/>
          </w:tcPr>
          <w:p w:rsidR="00BD7FE9" w:rsidRPr="00A14B7A" w:rsidRDefault="00BD7FE9" w:rsidP="00D1386F">
            <w:pPr>
              <w:snapToGrid w:val="0"/>
              <w:jc w:val="both"/>
              <w:rPr>
                <w:color w:val="000000" w:themeColor="text1"/>
              </w:rPr>
            </w:pPr>
          </w:p>
        </w:tc>
        <w:tc>
          <w:tcPr>
            <w:tcW w:w="2693" w:type="dxa"/>
          </w:tcPr>
          <w:p w:rsidR="00BD7FE9" w:rsidRDefault="00BD7FE9" w:rsidP="00D1386F">
            <w:pPr>
              <w:snapToGrid w:val="0"/>
            </w:pPr>
            <w:r w:rsidRPr="00A14B7A">
              <w:rPr>
                <w:color w:val="000000" w:themeColor="text1"/>
              </w:rPr>
              <w:t>Тип</w:t>
            </w:r>
            <w:r w:rsidRPr="00173C3F">
              <w:rPr>
                <w:color w:val="000000" w:themeColor="text1"/>
              </w:rPr>
              <w:t xml:space="preserve"> </w:t>
            </w:r>
            <w:r w:rsidRPr="00A14B7A">
              <w:rPr>
                <w:color w:val="000000" w:themeColor="text1"/>
              </w:rPr>
              <w:t>матрицы</w:t>
            </w:r>
            <w:r w:rsidRPr="00173C3F">
              <w:rPr>
                <w:color w:val="000000" w:themeColor="text1"/>
              </w:rPr>
              <w:t xml:space="preserve"> </w:t>
            </w:r>
            <w:r w:rsidRPr="00A14B7A">
              <w:rPr>
                <w:color w:val="000000" w:themeColor="text1"/>
              </w:rPr>
              <w:t>сенсорного</w:t>
            </w:r>
            <w:r w:rsidRPr="00173C3F">
              <w:rPr>
                <w:color w:val="000000" w:themeColor="text1"/>
              </w:rPr>
              <w:t xml:space="preserve"> </w:t>
            </w:r>
            <w:r w:rsidRPr="00A14B7A">
              <w:rPr>
                <w:color w:val="000000" w:themeColor="text1"/>
              </w:rPr>
              <w:t>экрана</w:t>
            </w:r>
            <w:r>
              <w:rPr>
                <w:color w:val="000000" w:themeColor="text1"/>
              </w:rPr>
              <w:t>:</w:t>
            </w:r>
            <w:r w:rsidRPr="00173C3F">
              <w:rPr>
                <w:color w:val="000000" w:themeColor="text1"/>
              </w:rPr>
              <w:t xml:space="preserve"> </w:t>
            </w:r>
            <w:r w:rsidRPr="00A14B7A">
              <w:rPr>
                <w:color w:val="000000" w:themeColor="text1"/>
                <w:lang w:val="en-US"/>
              </w:rPr>
              <w:t>IPS</w:t>
            </w:r>
            <w:r w:rsidRPr="00173C3F">
              <w:rPr>
                <w:color w:val="000000" w:themeColor="text1"/>
              </w:rPr>
              <w:t xml:space="preserve"> </w:t>
            </w:r>
            <w:r w:rsidRPr="00A14B7A">
              <w:rPr>
                <w:color w:val="000000" w:themeColor="text1"/>
              </w:rPr>
              <w:t>или</w:t>
            </w:r>
            <w:r w:rsidRPr="00173C3F">
              <w:rPr>
                <w:color w:val="000000" w:themeColor="text1"/>
              </w:rPr>
              <w:t xml:space="preserve"> </w:t>
            </w:r>
            <w:r w:rsidRPr="00A14B7A">
              <w:rPr>
                <w:color w:val="000000" w:themeColor="text1"/>
                <w:lang w:val="en-US"/>
              </w:rPr>
              <w:t>Super</w:t>
            </w:r>
            <w:r w:rsidRPr="00173C3F">
              <w:rPr>
                <w:color w:val="000000" w:themeColor="text1"/>
              </w:rPr>
              <w:t xml:space="preserve"> </w:t>
            </w:r>
            <w:r w:rsidRPr="00A14B7A">
              <w:rPr>
                <w:color w:val="000000" w:themeColor="text1"/>
                <w:lang w:val="en-US"/>
              </w:rPr>
              <w:t>IPS</w:t>
            </w:r>
            <w:r w:rsidRPr="00173C3F">
              <w:rPr>
                <w:color w:val="000000" w:themeColor="text1"/>
              </w:rPr>
              <w:t xml:space="preserve">+ </w:t>
            </w:r>
            <w:r w:rsidRPr="00A14B7A">
              <w:rPr>
                <w:color w:val="000000" w:themeColor="text1"/>
              </w:rPr>
              <w:t>или</w:t>
            </w:r>
            <w:r w:rsidRPr="00173C3F">
              <w:rPr>
                <w:color w:val="000000" w:themeColor="text1"/>
              </w:rPr>
              <w:t xml:space="preserve"> </w:t>
            </w:r>
            <w:r w:rsidRPr="00A14B7A">
              <w:rPr>
                <w:color w:val="000000" w:themeColor="text1"/>
                <w:lang w:val="en-US"/>
              </w:rPr>
              <w:t>HD</w:t>
            </w:r>
            <w:r w:rsidRPr="00173C3F">
              <w:rPr>
                <w:color w:val="000000" w:themeColor="text1"/>
              </w:rPr>
              <w:t xml:space="preserve"> </w:t>
            </w:r>
            <w:r w:rsidRPr="00A14B7A">
              <w:rPr>
                <w:color w:val="000000" w:themeColor="text1"/>
                <w:lang w:val="en-US"/>
              </w:rPr>
              <w:t>Super</w:t>
            </w:r>
            <w:r w:rsidRPr="00173C3F">
              <w:rPr>
                <w:color w:val="000000" w:themeColor="text1"/>
              </w:rPr>
              <w:t xml:space="preserve"> </w:t>
            </w:r>
            <w:r w:rsidRPr="00A14B7A">
              <w:rPr>
                <w:color w:val="000000" w:themeColor="text1"/>
                <w:lang w:val="en-US"/>
              </w:rPr>
              <w:t>AMOLED</w:t>
            </w:r>
            <w:r w:rsidRPr="00173C3F">
              <w:rPr>
                <w:color w:val="000000" w:themeColor="text1"/>
              </w:rPr>
              <w:t>.</w:t>
            </w:r>
            <w:r w:rsidRPr="00573DF5">
              <w:t xml:space="preserve"> </w:t>
            </w:r>
          </w:p>
          <w:p w:rsidR="00BD7FE9" w:rsidRDefault="00BD7FE9" w:rsidP="00D1386F">
            <w:pPr>
              <w:snapToGrid w:val="0"/>
            </w:pPr>
            <w:r w:rsidRPr="00573DF5">
              <w:t xml:space="preserve">Тип корпуса классический (моноблок) - цельный корпус, отдельные функциональные части </w:t>
            </w:r>
            <w:r w:rsidRPr="00573DF5">
              <w:lastRenderedPageBreak/>
              <w:t>которого не могут смещаться относительно друг друга</w:t>
            </w:r>
            <w:r>
              <w:t>.</w:t>
            </w:r>
          </w:p>
          <w:p w:rsidR="00BD7FE9" w:rsidRDefault="00BD7FE9" w:rsidP="00D1386F">
            <w:pPr>
              <w:snapToGrid w:val="0"/>
            </w:pPr>
            <w:r w:rsidRPr="00573DF5">
              <w:t>Возможность поддержки работы с различными операторами сотовой связи (по выбору пользователя)</w:t>
            </w:r>
            <w:r>
              <w:t>.</w:t>
            </w:r>
          </w:p>
          <w:p w:rsidR="00BD7FE9" w:rsidRDefault="00BD7FE9" w:rsidP="00D1386F">
            <w:pPr>
              <w:snapToGrid w:val="0"/>
            </w:pPr>
            <w:r w:rsidRPr="00573DF5">
              <w:t>Диагональ дисплея</w:t>
            </w:r>
            <w:r>
              <w:t xml:space="preserve"> </w:t>
            </w:r>
            <w:r>
              <w:rPr>
                <w:rFonts w:ascii="Roboto" w:hAnsi="Roboto"/>
                <w:sz w:val="21"/>
                <w:szCs w:val="21"/>
                <w:shd w:val="clear" w:color="auto" w:fill="FFFFFF"/>
              </w:rPr>
              <w:t>≥</w:t>
            </w:r>
            <w:r>
              <w:t>5,5 дюйма.</w:t>
            </w:r>
          </w:p>
          <w:p w:rsidR="00BD7FE9" w:rsidRDefault="00BD7FE9" w:rsidP="00D1386F">
            <w:pPr>
              <w:snapToGrid w:val="0"/>
              <w:rPr>
                <w:color w:val="000000" w:themeColor="text1"/>
              </w:rPr>
            </w:pPr>
            <w:r w:rsidRPr="00573DF5">
              <w:t>Объем встроенной памяти</w:t>
            </w:r>
            <w:r>
              <w:t xml:space="preserve"> </w:t>
            </w:r>
            <w:r>
              <w:rPr>
                <w:rFonts w:ascii="Roboto" w:hAnsi="Roboto"/>
                <w:sz w:val="21"/>
                <w:szCs w:val="21"/>
                <w:shd w:val="clear" w:color="auto" w:fill="FFFFFF"/>
              </w:rPr>
              <w:t>≥</w:t>
            </w:r>
            <w:r>
              <w:t>32 Гб.</w:t>
            </w:r>
            <w:r w:rsidRPr="000139FA">
              <w:rPr>
                <w:color w:val="000000" w:themeColor="text1"/>
              </w:rPr>
              <w:t xml:space="preserve"> </w:t>
            </w:r>
          </w:p>
          <w:p w:rsidR="00BD7FE9" w:rsidRDefault="00BD7FE9" w:rsidP="00D1386F">
            <w:pPr>
              <w:snapToGrid w:val="0"/>
              <w:rPr>
                <w:color w:val="000000" w:themeColor="text1"/>
              </w:rPr>
            </w:pPr>
            <w:r w:rsidRPr="000139FA">
              <w:rPr>
                <w:color w:val="000000" w:themeColor="text1"/>
              </w:rPr>
              <w:t>Число пикселей основной видеокамеры</w:t>
            </w:r>
            <w:r w:rsidRPr="000139FA">
              <w:rPr>
                <w:rFonts w:ascii="Roboto" w:hAnsi="Roboto"/>
                <w:color w:val="000000" w:themeColor="text1"/>
                <w:sz w:val="21"/>
                <w:szCs w:val="21"/>
                <w:shd w:val="clear" w:color="auto" w:fill="FFFFFF"/>
              </w:rPr>
              <w:t xml:space="preserve">    ≥</w:t>
            </w:r>
            <w:r w:rsidRPr="000139FA">
              <w:rPr>
                <w:color w:val="000000" w:themeColor="text1"/>
              </w:rPr>
              <w:t xml:space="preserve">12 </w:t>
            </w:r>
            <w:proofErr w:type="spellStart"/>
            <w:r w:rsidRPr="000139FA">
              <w:rPr>
                <w:color w:val="000000" w:themeColor="text1"/>
              </w:rPr>
              <w:t>Мпикс</w:t>
            </w:r>
            <w:proofErr w:type="spellEnd"/>
            <w:r>
              <w:rPr>
                <w:color w:val="000000" w:themeColor="text1"/>
              </w:rPr>
              <w:t>.</w:t>
            </w:r>
          </w:p>
          <w:p w:rsidR="00BD7FE9" w:rsidRDefault="00BD7FE9" w:rsidP="00D1386F">
            <w:pPr>
              <w:snapToGrid w:val="0"/>
              <w:rPr>
                <w:color w:val="000000" w:themeColor="text1"/>
              </w:rPr>
            </w:pPr>
            <w:r w:rsidRPr="000139FA">
              <w:rPr>
                <w:color w:val="000000" w:themeColor="text1"/>
              </w:rPr>
              <w:t xml:space="preserve">Число пикселей фронтальной видеокамеры </w:t>
            </w:r>
            <w:r w:rsidRPr="000139FA">
              <w:rPr>
                <w:rFonts w:ascii="Roboto" w:hAnsi="Roboto"/>
                <w:color w:val="000000" w:themeColor="text1"/>
                <w:sz w:val="21"/>
                <w:szCs w:val="21"/>
                <w:shd w:val="clear" w:color="auto" w:fill="FFFFFF"/>
              </w:rPr>
              <w:t>≥</w:t>
            </w:r>
            <w:r w:rsidRPr="000139FA">
              <w:rPr>
                <w:color w:val="000000" w:themeColor="text1"/>
              </w:rPr>
              <w:t xml:space="preserve">5 </w:t>
            </w:r>
            <w:proofErr w:type="spellStart"/>
            <w:r w:rsidRPr="000139FA">
              <w:rPr>
                <w:color w:val="000000" w:themeColor="text1"/>
              </w:rPr>
              <w:t>Мпикс</w:t>
            </w:r>
            <w:proofErr w:type="spellEnd"/>
            <w:r>
              <w:rPr>
                <w:color w:val="000000" w:themeColor="text1"/>
              </w:rPr>
              <w:t>.</w:t>
            </w:r>
          </w:p>
          <w:p w:rsidR="00BD7FE9" w:rsidRPr="00173C3F" w:rsidRDefault="00BD7FE9" w:rsidP="00D1386F">
            <w:pPr>
              <w:snapToGrid w:val="0"/>
            </w:pPr>
            <w:r w:rsidRPr="000139FA">
              <w:rPr>
                <w:color w:val="000000" w:themeColor="text1"/>
              </w:rPr>
              <w:t xml:space="preserve">Ёмкость аккумуляторной батареи </w:t>
            </w:r>
            <w:r w:rsidRPr="000139FA">
              <w:rPr>
                <w:rFonts w:ascii="Roboto" w:hAnsi="Roboto"/>
                <w:color w:val="000000" w:themeColor="text1"/>
                <w:sz w:val="21"/>
                <w:szCs w:val="21"/>
                <w:shd w:val="clear" w:color="auto" w:fill="FFFFFF"/>
              </w:rPr>
              <w:t>≥</w:t>
            </w:r>
            <w:r w:rsidRPr="000139FA">
              <w:rPr>
                <w:color w:val="000000" w:themeColor="text1"/>
              </w:rPr>
              <w:t xml:space="preserve">3000 </w:t>
            </w:r>
            <w:proofErr w:type="spellStart"/>
            <w:r w:rsidRPr="000139FA">
              <w:rPr>
                <w:color w:val="000000" w:themeColor="text1"/>
              </w:rPr>
              <w:t>mAh</w:t>
            </w:r>
            <w:proofErr w:type="spellEnd"/>
            <w:r>
              <w:rPr>
                <w:color w:val="000000" w:themeColor="text1"/>
              </w:rPr>
              <w:t>.</w:t>
            </w:r>
          </w:p>
        </w:tc>
        <w:tc>
          <w:tcPr>
            <w:tcW w:w="2410" w:type="dxa"/>
          </w:tcPr>
          <w:p w:rsidR="00BD7FE9" w:rsidRPr="00173C3F" w:rsidRDefault="00BD7FE9" w:rsidP="00D1386F">
            <w:r>
              <w:lastRenderedPageBreak/>
              <w:t>Наличие</w:t>
            </w:r>
          </w:p>
        </w:tc>
        <w:tc>
          <w:tcPr>
            <w:tcW w:w="709" w:type="dxa"/>
            <w:vMerge/>
          </w:tcPr>
          <w:p w:rsidR="00BD7FE9" w:rsidRPr="00173C3F" w:rsidRDefault="00BD7FE9" w:rsidP="00D1386F">
            <w:pPr>
              <w:snapToGrid w:val="0"/>
            </w:pPr>
          </w:p>
        </w:tc>
      </w:tr>
      <w:tr w:rsidR="00BD7FE9" w:rsidTr="00D1386F">
        <w:trPr>
          <w:trHeight w:val="20"/>
          <w:jc w:val="center"/>
        </w:trPr>
        <w:tc>
          <w:tcPr>
            <w:tcW w:w="8926" w:type="dxa"/>
            <w:gridSpan w:val="5"/>
          </w:tcPr>
          <w:p w:rsidR="00BD7FE9" w:rsidRPr="00573DF5" w:rsidRDefault="00BD7FE9" w:rsidP="00D1386F">
            <w:pPr>
              <w:rPr>
                <w:b/>
              </w:rPr>
            </w:pPr>
            <w:r w:rsidRPr="00573DF5">
              <w:rPr>
                <w:b/>
              </w:rPr>
              <w:lastRenderedPageBreak/>
              <w:t>ИТОГО:</w:t>
            </w:r>
          </w:p>
        </w:tc>
        <w:tc>
          <w:tcPr>
            <w:tcW w:w="709" w:type="dxa"/>
          </w:tcPr>
          <w:p w:rsidR="00BD7FE9" w:rsidRPr="00573DF5" w:rsidRDefault="00BD7FE9" w:rsidP="00D1386F">
            <w:pPr>
              <w:snapToGrid w:val="0"/>
              <w:jc w:val="center"/>
              <w:rPr>
                <w:b/>
              </w:rPr>
            </w:pPr>
            <w:r>
              <w:rPr>
                <w:b/>
              </w:rPr>
              <w:t>713</w:t>
            </w:r>
          </w:p>
        </w:tc>
      </w:tr>
    </w:tbl>
    <w:p w:rsidR="00BD7FE9" w:rsidRDefault="00BD7FE9" w:rsidP="00BD7FE9">
      <w:pPr>
        <w:jc w:val="both"/>
      </w:pPr>
    </w:p>
    <w:p w:rsidR="00BD7FE9" w:rsidRPr="009B3386" w:rsidRDefault="00BD7FE9" w:rsidP="00BD7FE9">
      <w:pPr>
        <w:jc w:val="both"/>
        <w:rPr>
          <w:b/>
        </w:rPr>
      </w:pPr>
      <w:r>
        <w:rPr>
          <w:b/>
        </w:rPr>
        <w:t>Обоснование включения дополнительной информации в сведения о товаре, работе, услуге:</w:t>
      </w:r>
    </w:p>
    <w:p w:rsidR="00BD7FE9" w:rsidRPr="009B3386" w:rsidRDefault="00BD7FE9" w:rsidP="00BD7FE9">
      <w:pPr>
        <w:jc w:val="both"/>
      </w:pPr>
      <w:r>
        <w:t xml:space="preserve">- </w:t>
      </w:r>
      <w:r w:rsidRPr="00BF38C2">
        <w:t>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w:t>
      </w:r>
    </w:p>
    <w:p w:rsidR="00BD7FE9" w:rsidRDefault="00BD7FE9" w:rsidP="00BD7FE9">
      <w:pPr>
        <w:jc w:val="both"/>
      </w:pPr>
      <w:r>
        <w:t>- 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rsidR="00BD7FE9" w:rsidRDefault="00BD7FE9" w:rsidP="00BD7FE9">
      <w:pPr>
        <w:jc w:val="both"/>
      </w:pPr>
      <w:r>
        <w:t xml:space="preserve">- </w:t>
      </w:r>
      <w:r w:rsidRPr="00173C3F">
        <w:t>ГОСТ Р 59552-2021 Основные функции мобильного телефона для коммуникации инвалидов по слуху. Общие требования.</w:t>
      </w:r>
    </w:p>
    <w:p w:rsidR="00BD7FE9" w:rsidRPr="00573DF5" w:rsidRDefault="00BD7FE9" w:rsidP="00BD7FE9">
      <w:pPr>
        <w:jc w:val="both"/>
      </w:pPr>
      <w:r w:rsidRPr="00573DF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w:t>
      </w:r>
      <w:r w:rsidR="00A12751">
        <w:t xml:space="preserve">сийской Федерации от 07.02.1992 </w:t>
      </w:r>
      <w:r w:rsidRPr="00573DF5">
        <w:t>№ 2300-1 «О защите прав потребителей»).</w:t>
      </w:r>
    </w:p>
    <w:p w:rsidR="00BD7FE9" w:rsidRPr="00573DF5" w:rsidRDefault="00BD7FE9" w:rsidP="00BD7FE9">
      <w:pPr>
        <w:tabs>
          <w:tab w:val="left" w:pos="9724"/>
        </w:tabs>
        <w:jc w:val="both"/>
      </w:pPr>
      <w:r w:rsidRPr="00573DF5">
        <w:t xml:space="preserve">3.2. Товар должен соответствовать требованиям государственного стандарта (ГОСТ), действующего на территории Российской Федерации: </w:t>
      </w:r>
    </w:p>
    <w:p w:rsidR="00BD7FE9" w:rsidRDefault="00BD7FE9" w:rsidP="00BD7FE9">
      <w:pPr>
        <w:jc w:val="both"/>
      </w:pPr>
      <w:r>
        <w:t>- "ГОСТ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rsidR="00BD7FE9" w:rsidRPr="00573DF5" w:rsidRDefault="00BD7FE9" w:rsidP="00BD7FE9">
      <w:pPr>
        <w:jc w:val="both"/>
      </w:pPr>
      <w:r>
        <w:t xml:space="preserve">- </w:t>
      </w:r>
      <w:r w:rsidRPr="00173C3F">
        <w:t>ГОСТ Р 59552-2021 Основные функции мобильного телефона для коммуникации инвалидов по слуху. Общие требования.</w:t>
      </w:r>
    </w:p>
    <w:p w:rsidR="00BD7FE9" w:rsidRPr="00573DF5" w:rsidRDefault="00BD7FE9" w:rsidP="00BD7FE9">
      <w:pPr>
        <w:jc w:val="both"/>
      </w:pPr>
      <w:r w:rsidRPr="00573DF5">
        <w:t xml:space="preserve">Товар должен отвечать требованиям к безопасности товара в соответствии с техническими регламентами Таможенного союза: </w:t>
      </w:r>
    </w:p>
    <w:p w:rsidR="00BD7FE9" w:rsidRPr="00573DF5" w:rsidRDefault="00BD7FE9" w:rsidP="00BD7FE9">
      <w:pPr>
        <w:jc w:val="both"/>
      </w:pPr>
      <w:r w:rsidRPr="00573DF5">
        <w:t xml:space="preserve">- ТР ТС 004/2011 «О безопасности низковольтного оборудования»; </w:t>
      </w:r>
    </w:p>
    <w:p w:rsidR="00BD7FE9" w:rsidRPr="00573DF5" w:rsidRDefault="00BD7FE9" w:rsidP="00BD7FE9">
      <w:pPr>
        <w:jc w:val="both"/>
      </w:pPr>
      <w:r w:rsidRPr="00573DF5">
        <w:t xml:space="preserve">- ТР ТС 020/2011 «Электромагнитная совместимость технических средств». </w:t>
      </w:r>
    </w:p>
    <w:p w:rsidR="00BD7FE9" w:rsidRPr="00573DF5" w:rsidRDefault="00BD7FE9" w:rsidP="00BD7FE9">
      <w:pPr>
        <w:jc w:val="both"/>
      </w:pPr>
      <w:r w:rsidRPr="00573DF5">
        <w:t xml:space="preserve">В соответствии с подпунктом «а» пункта 7 постановления Правительства Российской Федерации № 1221 от 31.12.2009 класс энергической эффективности должен быть не ниже </w:t>
      </w:r>
      <w:r w:rsidRPr="00573DF5">
        <w:lastRenderedPageBreak/>
        <w:t>первых двух наивысших классов. Определение класса энергетической эффективности должно соответствовать приказу Министерства промышленности и торговли Российской Федерации №357 от 29.04.2010.</w:t>
      </w:r>
    </w:p>
    <w:p w:rsidR="00BD7FE9" w:rsidRPr="00573DF5" w:rsidRDefault="00BD7FE9" w:rsidP="00BD7FE9">
      <w:pPr>
        <w:jc w:val="both"/>
      </w:pPr>
      <w:r w:rsidRPr="00573DF5">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BD7FE9" w:rsidRPr="00573DF5" w:rsidRDefault="00BD7FE9" w:rsidP="00BD7FE9">
      <w:pPr>
        <w:jc w:val="both"/>
        <w:rPr>
          <w:bCs/>
        </w:rPr>
      </w:pPr>
      <w:r w:rsidRPr="00573DF5">
        <w:t xml:space="preserve">3.4. </w:t>
      </w:r>
      <w:r w:rsidRPr="00573DF5">
        <w:rPr>
          <w:bCs/>
        </w:rPr>
        <w:t xml:space="preserve">Упаковка, маркировка, транспортирование и хранение устройств должны осуществляться с соблюдением требований </w:t>
      </w:r>
      <w:r w:rsidRPr="00A64197">
        <w:rPr>
          <w:bCs/>
        </w:rPr>
        <w:t xml:space="preserve">ГОСТ 28594-90 </w:t>
      </w:r>
      <w:r>
        <w:rPr>
          <w:bCs/>
        </w:rPr>
        <w:t>«</w:t>
      </w:r>
      <w:r w:rsidRPr="00A64197">
        <w:rPr>
          <w:bCs/>
        </w:rPr>
        <w:t>Аппаратура радиоэлектронная бытовая. Упаковка, маркировк</w:t>
      </w:r>
      <w:r>
        <w:rPr>
          <w:bCs/>
        </w:rPr>
        <w:t>а,</w:t>
      </w:r>
      <w:bookmarkStart w:id="0" w:name="_GoBack"/>
      <w:bookmarkEnd w:id="0"/>
      <w:r>
        <w:rPr>
          <w:bCs/>
        </w:rPr>
        <w:t xml:space="preserve"> транспортирование и хранение».</w:t>
      </w:r>
    </w:p>
    <w:p w:rsidR="00EF669F" w:rsidRPr="00F413E5" w:rsidRDefault="00BD7FE9" w:rsidP="00EF669F">
      <w:pPr>
        <w:jc w:val="both"/>
      </w:pPr>
      <w:r w:rsidRPr="00573DF5">
        <w:t xml:space="preserve">3.5. </w:t>
      </w:r>
      <w:r w:rsidR="00EF669F" w:rsidRPr="00F413E5">
        <w:t>Гарантийный срок Товара составляет не менее 24 (двадцати четырех) месяцев (Закон РФ от 07.02.1992 № 2300-1 «О защите прав потребителей») со дня подписания Получателем акта приема-передачи Товара. Установленный настоящим пунктом срок не распространяется на случаи нарушения Получателем условий и требований к эксплуатации Товара.</w:t>
      </w:r>
    </w:p>
    <w:p w:rsidR="00EF669F" w:rsidRPr="00F413E5" w:rsidRDefault="00EF669F" w:rsidP="00EF669F">
      <w:pPr>
        <w:jc w:val="both"/>
        <w:rPr>
          <w:color w:val="FF0000"/>
        </w:rPr>
      </w:pPr>
      <w:r w:rsidRPr="00F413E5">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EF669F" w:rsidRPr="00F413E5" w:rsidRDefault="00EF669F" w:rsidP="00EF669F">
      <w:pPr>
        <w:jc w:val="both"/>
        <w:rPr>
          <w:color w:val="000000"/>
        </w:rPr>
      </w:pPr>
      <w:r w:rsidRPr="00F413E5">
        <w:rPr>
          <w:color w:val="000000"/>
        </w:rPr>
        <w:t>Срок выполнения гарантийного ремонта Товара не должен превышать 20 рабочих дней со дня обращения Получателя (Заказчика).</w:t>
      </w:r>
    </w:p>
    <w:p w:rsidR="00EF669F" w:rsidRPr="00F413E5" w:rsidRDefault="00EF669F" w:rsidP="00EF669F">
      <w:pPr>
        <w:jc w:val="both"/>
        <w:rPr>
          <w:color w:val="000000"/>
        </w:rPr>
      </w:pPr>
      <w:r w:rsidRPr="00F413E5">
        <w:rPr>
          <w:color w:val="000000"/>
        </w:rPr>
        <w:t>Срок осуществления замены Товара не должен превышать 15 рабочих дней со дня обращения Получателя (Заказчика).</w:t>
      </w:r>
    </w:p>
    <w:p w:rsidR="00EF669F" w:rsidRPr="00F413E5" w:rsidRDefault="00EF669F" w:rsidP="00EF669F">
      <w:pPr>
        <w:jc w:val="both"/>
      </w:pPr>
      <w:r w:rsidRPr="00F413E5">
        <w:rPr>
          <w:color w:val="000000"/>
        </w:rPr>
        <w:t xml:space="preserve">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w:t>
      </w:r>
      <w:r w:rsidRPr="00F413E5">
        <w:t>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BD7FE9" w:rsidRPr="00EF669F" w:rsidRDefault="00EF669F" w:rsidP="00EF669F">
      <w:pPr>
        <w:autoSpaceDE w:val="0"/>
        <w:jc w:val="both"/>
      </w:pPr>
      <w:r w:rsidRPr="00F413E5">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гарантийного обслуживания.</w:t>
      </w:r>
    </w:p>
    <w:p w:rsidR="00BD7FE9" w:rsidRPr="00573DF5" w:rsidRDefault="00BD7FE9" w:rsidP="00BD7FE9">
      <w:pPr>
        <w:jc w:val="both"/>
      </w:pPr>
      <w:r w:rsidRPr="00573DF5">
        <w:t>4. Поставщик обязан:</w:t>
      </w:r>
    </w:p>
    <w:p w:rsidR="00BD7FE9" w:rsidRPr="00573DF5" w:rsidRDefault="00BD7FE9" w:rsidP="00BD7FE9">
      <w:pPr>
        <w:jc w:val="both"/>
      </w:pPr>
      <w:r w:rsidRPr="00573DF5">
        <w:t xml:space="preserve">4.1. Поставлять Товар для Получателей, </w:t>
      </w:r>
      <w:r w:rsidRPr="00573DF5">
        <w:rPr>
          <w:spacing w:val="-4"/>
        </w:rPr>
        <w:t xml:space="preserve">имеющий </w:t>
      </w:r>
      <w:r w:rsidRPr="00573DF5">
        <w:rPr>
          <w:rFonts w:ascii="Times New Roman CYR" w:hAnsi="Times New Roman CYR" w:cs="Times New Roman CYR"/>
        </w:rPr>
        <w:t xml:space="preserve">действующие </w:t>
      </w:r>
      <w:r w:rsidRPr="00573DF5">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BD7FE9" w:rsidRPr="00573DF5" w:rsidRDefault="00BD7FE9" w:rsidP="00BD7FE9">
      <w:pPr>
        <w:jc w:val="both"/>
      </w:pPr>
      <w:r w:rsidRPr="00573DF5">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BD7FE9" w:rsidRPr="00573DF5" w:rsidRDefault="00BD7FE9" w:rsidP="00BD7FE9">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BD7FE9" w:rsidRPr="00573DF5" w:rsidRDefault="00BD7FE9" w:rsidP="00BD7FE9">
      <w:pPr>
        <w:jc w:val="both"/>
      </w:pPr>
      <w:r w:rsidRPr="00573DF5">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w:t>
      </w:r>
      <w:r w:rsidRPr="00573DF5">
        <w:lastRenderedPageBreak/>
        <w:t>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BD7FE9" w:rsidRPr="00573DF5" w:rsidRDefault="00BD7FE9" w:rsidP="00BD7FE9">
      <w:pPr>
        <w:jc w:val="both"/>
        <w:rPr>
          <w:rFonts w:ascii="Times New Roman CYR" w:hAnsi="Times New Roman CYR" w:cs="Times New Roman CYR"/>
        </w:rPr>
      </w:pPr>
      <w:r w:rsidRPr="00573DF5">
        <w:rPr>
          <w:rFonts w:ascii="Times New Roman CYR"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573DF5">
        <w:rPr>
          <w:rFonts w:ascii="Times New Roman CYR" w:hAnsi="Times New Roman CYR" w:cs="Times New Roman CYR"/>
        </w:rPr>
        <w:t>Роспотребнадзора</w:t>
      </w:r>
      <w:proofErr w:type="spellEnd"/>
      <w:r w:rsidRPr="00573DF5">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573DF5">
        <w:rPr>
          <w:rFonts w:ascii="Times New Roman CYR" w:hAnsi="Times New Roman CYR" w:cs="Times New Roman CYR"/>
        </w:rPr>
        <w:t>коронавирусной</w:t>
      </w:r>
      <w:proofErr w:type="spellEnd"/>
      <w:r w:rsidRPr="00573DF5">
        <w:rPr>
          <w:rFonts w:ascii="Times New Roman CYR" w:hAnsi="Times New Roman CYR" w:cs="Times New Roman CYR"/>
        </w:rPr>
        <w:t xml:space="preserve"> инфекции (COVID-19).</w:t>
      </w:r>
    </w:p>
    <w:p w:rsidR="00BD7FE9" w:rsidRPr="00573DF5" w:rsidRDefault="00BD7FE9" w:rsidP="00BD7FE9">
      <w:pPr>
        <w:jc w:val="both"/>
        <w:rPr>
          <w:rFonts w:ascii="Times New Roman CYR" w:hAnsi="Times New Roman CYR" w:cs="Times New Roman CYR"/>
        </w:rPr>
      </w:pPr>
      <w:r w:rsidRPr="00573DF5">
        <w:rPr>
          <w:rFonts w:ascii="Times New Roman CYR" w:hAnsi="Times New Roman CYR" w:cs="Times New Roman CYR"/>
        </w:rPr>
        <w:t xml:space="preserve">4.4. </w:t>
      </w:r>
      <w:r w:rsidRPr="00A64197">
        <w:t>Обеспечить возможность выдачи Товара в пункте приема Получателей со дня, следующего за днем поступления Товара в субъект в соответствии с календарным планом. В день, следующий за днем поступления Товара в субъект в соответствии с календарным планом, на пункте (пунктах) приема Получателей (далее – пункт (пункты) приема Получателей) должно находиться количество товара необходи</w:t>
      </w:r>
      <w:r>
        <w:t>мого для бесперебойной выдачи.</w:t>
      </w:r>
    </w:p>
    <w:p w:rsidR="00BD7FE9" w:rsidRPr="00573DF5" w:rsidRDefault="00BD7FE9" w:rsidP="00BD7FE9">
      <w:pPr>
        <w:jc w:val="both"/>
        <w:rPr>
          <w:rFonts w:ascii="Times New Roman CYR" w:hAnsi="Times New Roman CYR" w:cs="Times New Roman CYR"/>
        </w:rPr>
      </w:pPr>
      <w:r w:rsidRPr="00573DF5">
        <w:rPr>
          <w:rFonts w:ascii="Times New Roman CYR"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BD7FE9" w:rsidRPr="00573DF5" w:rsidRDefault="00BD7FE9" w:rsidP="00BD7FE9">
      <w:pPr>
        <w:jc w:val="both"/>
        <w:rPr>
          <w:rFonts w:ascii="Times New Roman CYR" w:hAnsi="Times New Roman CYR" w:cs="Times New Roman CYR"/>
        </w:rPr>
      </w:pPr>
      <w:r w:rsidRPr="00573DF5">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BD7FE9" w:rsidRPr="00573DF5" w:rsidRDefault="00BD7FE9" w:rsidP="00BD7FE9">
      <w:pPr>
        <w:jc w:val="both"/>
      </w:pPr>
      <w:r w:rsidRPr="00573DF5">
        <w:t xml:space="preserve">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Получателей</w:t>
      </w:r>
      <w:r w:rsidRPr="00573DF5">
        <w:t xml:space="preserve"> способа, места и времени доставки Товара.</w:t>
      </w:r>
    </w:p>
    <w:p w:rsidR="00BD7FE9" w:rsidRPr="00573DF5" w:rsidRDefault="00BD7FE9" w:rsidP="00BD7FE9">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BD7FE9" w:rsidRPr="00573DF5" w:rsidRDefault="00BD7FE9" w:rsidP="00BD7FE9">
      <w:pPr>
        <w:jc w:val="both"/>
      </w:pPr>
      <w:r w:rsidRPr="00573DF5">
        <w:t xml:space="preserve">4.7. </w:t>
      </w:r>
      <w:r w:rsidRPr="00EB5EA5">
        <w:t>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w:t>
      </w:r>
      <w:r>
        <w:t>.</w:t>
      </w:r>
    </w:p>
    <w:p w:rsidR="00BD7FE9" w:rsidRPr="00573DF5" w:rsidRDefault="00BD7FE9" w:rsidP="00BD7FE9">
      <w:pPr>
        <w:autoSpaceDE w:val="0"/>
        <w:autoSpaceDN w:val="0"/>
        <w:adjustRightInd w:val="0"/>
        <w:spacing w:line="240" w:lineRule="atLeast"/>
        <w:jc w:val="both"/>
      </w:pPr>
      <w:r w:rsidRPr="00573DF5">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BD7FE9" w:rsidRPr="00573DF5" w:rsidRDefault="00BD7FE9" w:rsidP="00BD7FE9">
      <w:pPr>
        <w:numPr>
          <w:ilvl w:val="0"/>
          <w:numId w:val="2"/>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BD7FE9" w:rsidRPr="00573DF5" w:rsidRDefault="00BD7FE9" w:rsidP="00BD7FE9">
      <w:pPr>
        <w:numPr>
          <w:ilvl w:val="0"/>
          <w:numId w:val="2"/>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BD7FE9" w:rsidRPr="00573DF5" w:rsidRDefault="00BD7FE9" w:rsidP="00BD7FE9">
      <w:pPr>
        <w:numPr>
          <w:ilvl w:val="0"/>
          <w:numId w:val="2"/>
        </w:numPr>
        <w:autoSpaceDE w:val="0"/>
        <w:autoSpaceDN w:val="0"/>
        <w:adjustRightInd w:val="0"/>
        <w:contextualSpacing/>
        <w:jc w:val="both"/>
      </w:pPr>
      <w:r w:rsidRPr="00573DF5">
        <w:t>номер контактного телефона;</w:t>
      </w:r>
    </w:p>
    <w:p w:rsidR="00BD7FE9" w:rsidRPr="00573DF5" w:rsidRDefault="00BD7FE9" w:rsidP="00BD7FE9">
      <w:pPr>
        <w:numPr>
          <w:ilvl w:val="0"/>
          <w:numId w:val="2"/>
        </w:numPr>
        <w:autoSpaceDE w:val="0"/>
        <w:autoSpaceDN w:val="0"/>
        <w:adjustRightInd w:val="0"/>
        <w:contextualSpacing/>
        <w:jc w:val="both"/>
      </w:pPr>
      <w:r w:rsidRPr="00573DF5">
        <w:t>адрес электронной почты;</w:t>
      </w:r>
    </w:p>
    <w:p w:rsidR="00BD7FE9" w:rsidRPr="00573DF5" w:rsidRDefault="00BD7FE9" w:rsidP="00BD7FE9">
      <w:pPr>
        <w:numPr>
          <w:ilvl w:val="0"/>
          <w:numId w:val="2"/>
        </w:numPr>
        <w:autoSpaceDE w:val="0"/>
        <w:autoSpaceDN w:val="0"/>
        <w:adjustRightInd w:val="0"/>
        <w:contextualSpacing/>
        <w:jc w:val="both"/>
      </w:pPr>
      <w:r w:rsidRPr="00573DF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D7FE9" w:rsidRPr="00573DF5" w:rsidRDefault="00BD7FE9" w:rsidP="00BD7FE9">
      <w:pPr>
        <w:numPr>
          <w:ilvl w:val="0"/>
          <w:numId w:val="2"/>
        </w:numPr>
        <w:autoSpaceDE w:val="0"/>
        <w:autoSpaceDN w:val="0"/>
        <w:adjustRightInd w:val="0"/>
        <w:contextualSpacing/>
        <w:jc w:val="both"/>
      </w:pPr>
      <w:r w:rsidRPr="00573DF5">
        <w:lastRenderedPageBreak/>
        <w:t>перечень операций, выполняемых соисполнителем в рамках контракта;</w:t>
      </w:r>
    </w:p>
    <w:p w:rsidR="00BD7FE9" w:rsidRPr="00573DF5" w:rsidRDefault="00BD7FE9" w:rsidP="00BD7FE9">
      <w:pPr>
        <w:numPr>
          <w:ilvl w:val="0"/>
          <w:numId w:val="2"/>
        </w:numPr>
        <w:autoSpaceDE w:val="0"/>
        <w:autoSpaceDN w:val="0"/>
        <w:adjustRightInd w:val="0"/>
        <w:contextualSpacing/>
        <w:jc w:val="both"/>
        <w:rPr>
          <w:rFonts w:ascii="Calibri" w:hAnsi="Calibri"/>
        </w:rPr>
      </w:pPr>
      <w:r w:rsidRPr="00573DF5">
        <w:t xml:space="preserve">срок </w:t>
      </w:r>
      <w:proofErr w:type="spellStart"/>
      <w:r w:rsidRPr="00573DF5">
        <w:t>соисполнительства</w:t>
      </w:r>
      <w:proofErr w:type="spellEnd"/>
      <w:r w:rsidRPr="00573DF5">
        <w:t>.</w:t>
      </w:r>
    </w:p>
    <w:p w:rsidR="00BD7FE9" w:rsidRPr="00573DF5" w:rsidRDefault="00BD7FE9" w:rsidP="00BD7FE9">
      <w:pPr>
        <w:autoSpaceDE w:val="0"/>
        <w:autoSpaceDN w:val="0"/>
        <w:adjustRightInd w:val="0"/>
        <w:spacing w:line="240" w:lineRule="atLeast"/>
        <w:jc w:val="both"/>
      </w:pPr>
      <w:r w:rsidRPr="00573DF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BD7FE9" w:rsidRPr="00573DF5" w:rsidRDefault="00BD7FE9" w:rsidP="00BD7FE9">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BD7FE9" w:rsidRPr="00573DF5" w:rsidRDefault="00BD7FE9" w:rsidP="00BD7FE9">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sidRPr="008F0549">
        <w:rPr>
          <w:lang w:val="en-US"/>
        </w:rPr>
        <w:t>osp</w:t>
      </w:r>
      <w:proofErr w:type="spellEnd"/>
      <w:r w:rsidRPr="008F0549">
        <w:t>@</w:t>
      </w:r>
      <w:proofErr w:type="spellStart"/>
      <w:r w:rsidRPr="008F0549">
        <w:rPr>
          <w:lang w:val="en-US"/>
        </w:rPr>
        <w:t>ro</w:t>
      </w:r>
      <w:proofErr w:type="spellEnd"/>
      <w:r w:rsidRPr="008F0549">
        <w:t>78.</w:t>
      </w:r>
      <w:proofErr w:type="spellStart"/>
      <w:r w:rsidRPr="008F0549">
        <w:rPr>
          <w:lang w:val="en-US"/>
        </w:rPr>
        <w:t>fss</w:t>
      </w:r>
      <w:proofErr w:type="spellEnd"/>
      <w:r w:rsidRPr="008F0549">
        <w:t>.</w:t>
      </w:r>
      <w:proofErr w:type="spellStart"/>
      <w:r w:rsidRPr="008F0549">
        <w:rPr>
          <w:lang w:val="en-US"/>
        </w:rPr>
        <w:t>ru</w:t>
      </w:r>
      <w:proofErr w:type="spellEnd"/>
      <w:r>
        <w:t>.</w:t>
      </w:r>
    </w:p>
    <w:p w:rsidR="00BD7FE9" w:rsidRPr="00573DF5" w:rsidRDefault="00BD7FE9" w:rsidP="00BD7FE9">
      <w:pPr>
        <w:jc w:val="both"/>
      </w:pPr>
      <w:r w:rsidRPr="00573DF5">
        <w:t>5. Способ поставки:</w:t>
      </w:r>
    </w:p>
    <w:p w:rsidR="00BD7FE9" w:rsidRPr="00573DF5" w:rsidRDefault="00BD7FE9" w:rsidP="00BD7FE9">
      <w:pPr>
        <w:jc w:val="both"/>
      </w:pPr>
      <w:r w:rsidRPr="00573DF5">
        <w:t>5.1. Поставщик передает Получателям Товар следующими способами:</w:t>
      </w:r>
    </w:p>
    <w:p w:rsidR="00BD7FE9" w:rsidRPr="00573DF5" w:rsidRDefault="00BD7FE9" w:rsidP="00BD7FE9">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BD7FE9" w:rsidRPr="00573DF5" w:rsidRDefault="00BD7FE9" w:rsidP="00BD7FE9">
      <w:pPr>
        <w:jc w:val="both"/>
      </w:pPr>
      <w:r w:rsidRPr="00573DF5">
        <w:t xml:space="preserve">- в пункте (пунктах) приема </w:t>
      </w:r>
      <w:r w:rsidRPr="00573DF5">
        <w:rPr>
          <w:rFonts w:ascii="Times New Roman CYR" w:hAnsi="Times New Roman CYR" w:cs="Times New Roman CYR"/>
        </w:rPr>
        <w:t>Получателей</w:t>
      </w:r>
      <w:r w:rsidRPr="00573DF5">
        <w:t>, организованных Поставщиком.</w:t>
      </w:r>
    </w:p>
    <w:p w:rsidR="00BD7FE9" w:rsidRPr="00573DF5" w:rsidRDefault="00BD7FE9" w:rsidP="00BD7FE9">
      <w:pPr>
        <w:jc w:val="both"/>
      </w:pPr>
      <w:r w:rsidRPr="00573DF5">
        <w:t>Поставщик обязан предоставлять Получателям право выбора способа получения Товара.</w:t>
      </w:r>
    </w:p>
    <w:p w:rsidR="00BD7FE9" w:rsidRPr="00573DF5" w:rsidRDefault="00BD7FE9" w:rsidP="00BD7FE9">
      <w:pPr>
        <w:ind w:right="-23"/>
        <w:jc w:val="both"/>
      </w:pPr>
      <w:r w:rsidRPr="00573DF5">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BD7FE9" w:rsidRPr="003F0DC1" w:rsidRDefault="00BD7FE9" w:rsidP="00BD7FE9">
      <w:pPr>
        <w:jc w:val="both"/>
      </w:pPr>
      <w:r>
        <w:t xml:space="preserve">5.2. </w:t>
      </w:r>
      <w:r w:rsidRPr="003F0DC1">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w:t>
      </w:r>
      <w:r>
        <w:t xml:space="preserve"> рабочего</w:t>
      </w:r>
      <w:r w:rsidRPr="003F0DC1">
        <w:t xml:space="preserve">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BD7FE9" w:rsidRPr="003F0DC1" w:rsidRDefault="00BD7FE9" w:rsidP="00BD7FE9">
      <w:pPr>
        <w:ind w:firstLine="708"/>
        <w:jc w:val="both"/>
      </w:pPr>
      <w:r w:rsidRPr="003F0DC1">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BD7FE9" w:rsidRPr="003F0DC1" w:rsidRDefault="00BD7FE9" w:rsidP="00BD7FE9">
      <w:pPr>
        <w:ind w:firstLine="708"/>
        <w:jc w:val="both"/>
      </w:pPr>
      <w:r w:rsidRPr="003F0DC1">
        <w:t xml:space="preserve">В соответствии с частью 2 статьи 12 Федерального закона от 30.12.2009 №384-ФЗ «Технический регламент о безопасности зданий и сооружений» </w:t>
      </w:r>
    </w:p>
    <w:p w:rsidR="00BD7FE9" w:rsidRPr="003F0DC1" w:rsidRDefault="00BD7FE9" w:rsidP="00BD7FE9">
      <w:pPr>
        <w:ind w:firstLine="708"/>
        <w:jc w:val="both"/>
      </w:pPr>
      <w:r w:rsidRPr="003F0DC1">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BD7FE9" w:rsidRPr="003F0DC1" w:rsidRDefault="00BD7FE9" w:rsidP="00BD7FE9">
      <w:pPr>
        <w:ind w:firstLine="708"/>
        <w:jc w:val="both"/>
      </w:pPr>
      <w:r w:rsidRPr="003F0DC1">
        <w:t>В городе Санкт-Петербург таким объектом транспортной инфраструктуры, отвечающим установленным требованиям, является метрополитен.</w:t>
      </w:r>
    </w:p>
    <w:p w:rsidR="00BD7FE9" w:rsidRPr="003F0DC1" w:rsidRDefault="00BD7FE9" w:rsidP="00BD7FE9">
      <w:pPr>
        <w:ind w:firstLine="708"/>
        <w:jc w:val="both"/>
      </w:pPr>
      <w:r w:rsidRPr="003F0DC1">
        <w:t xml:space="preserve">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w:t>
      </w:r>
      <w:r w:rsidRPr="003F0DC1">
        <w:lastRenderedPageBreak/>
        <w:t>«Градостроительство.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D7FE9" w:rsidRPr="003F0DC1" w:rsidRDefault="00BD7FE9" w:rsidP="00BD7FE9">
      <w:pPr>
        <w:ind w:firstLine="708"/>
        <w:jc w:val="both"/>
      </w:pPr>
      <w:r w:rsidRPr="003F0DC1">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BD7FE9" w:rsidRPr="003F0DC1" w:rsidRDefault="00BD7FE9" w:rsidP="00BD7FE9">
      <w:pPr>
        <w:ind w:firstLine="708"/>
        <w:jc w:val="both"/>
      </w:pPr>
      <w:r w:rsidRPr="003F0DC1">
        <w:t>Не позднее 1 (одного)</w:t>
      </w:r>
      <w:r>
        <w:t xml:space="preserve"> рабочего</w:t>
      </w:r>
      <w:r w:rsidRPr="003F0DC1">
        <w:t xml:space="preserve">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A12751" w:rsidRDefault="00BD7FE9" w:rsidP="00BD7FE9">
      <w:pPr>
        <w:ind w:right="-23"/>
        <w:jc w:val="both"/>
      </w:pPr>
      <w:r w:rsidRPr="003F0DC1">
        <w:t>Не позднее 1 (одного)</w:t>
      </w:r>
      <w:r>
        <w:t xml:space="preserve"> рабочего </w:t>
      </w:r>
      <w:r w:rsidRPr="003F0DC1">
        <w:t>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BD7FE9" w:rsidRPr="00573DF5" w:rsidRDefault="00BD7FE9" w:rsidP="00BD7FE9">
      <w:pPr>
        <w:ind w:right="-23"/>
        <w:jc w:val="both"/>
        <w:rPr>
          <w:color w:val="000000"/>
        </w:rPr>
      </w:pPr>
      <w:r w:rsidRPr="00573DF5">
        <w:rPr>
          <w:color w:val="000000"/>
        </w:rPr>
        <w:t xml:space="preserve">5.3. Поставщик обязан предоставить доступное для людей с инвалидностью помещение под размещение 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BD7FE9" w:rsidRPr="00573DF5" w:rsidRDefault="00BD7FE9" w:rsidP="00BD7FE9">
      <w:pPr>
        <w:suppressAutoHyphens/>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BD7FE9" w:rsidRPr="00573DF5" w:rsidRDefault="00BD7FE9" w:rsidP="00BD7FE9">
      <w:pPr>
        <w:suppressAutoHyphens/>
        <w:jc w:val="both"/>
      </w:pPr>
      <w:r w:rsidRPr="00573DF5">
        <w:rPr>
          <w:b/>
        </w:rPr>
        <w:t>Входная группа</w:t>
      </w:r>
      <w:r w:rsidRPr="00573DF5">
        <w:t xml:space="preserve"> </w:t>
      </w:r>
    </w:p>
    <w:p w:rsidR="00BD7FE9" w:rsidRPr="00573DF5" w:rsidRDefault="00BD7FE9" w:rsidP="00BD7FE9">
      <w:pPr>
        <w:suppressAutoHyphens/>
        <w:jc w:val="both"/>
      </w:pPr>
      <w:r w:rsidRPr="00573DF5">
        <w:t>При перепадах высот Поставщик должен учитывать наличие следующих элементов:</w:t>
      </w:r>
    </w:p>
    <w:p w:rsidR="00BD7FE9" w:rsidRPr="00573DF5" w:rsidRDefault="00BD7FE9" w:rsidP="00BD7FE9">
      <w:pPr>
        <w:suppressAutoHyphens/>
        <w:jc w:val="both"/>
      </w:pPr>
      <w:r w:rsidRPr="00573DF5">
        <w:t>- Пандус с поручнями;</w:t>
      </w:r>
    </w:p>
    <w:p w:rsidR="00BD7FE9" w:rsidRPr="00573DF5" w:rsidRDefault="00BD7FE9" w:rsidP="00BD7FE9">
      <w:pPr>
        <w:suppressAutoHyphens/>
        <w:jc w:val="both"/>
      </w:pPr>
      <w:r w:rsidRPr="00573DF5">
        <w:t>(в соответствии с п. 5.1.14 – п. 5.1.16; п. 6.1.2 – п. 6.1.4; п. 6.2.9 – п. 6.2.11 СП 59.13330.2020);</w:t>
      </w:r>
    </w:p>
    <w:p w:rsidR="00BD7FE9" w:rsidRPr="00573DF5" w:rsidRDefault="00BD7FE9" w:rsidP="00BD7FE9">
      <w:pPr>
        <w:suppressAutoHyphens/>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BD7FE9" w:rsidRPr="00573DF5" w:rsidRDefault="00BD7FE9" w:rsidP="00BD7FE9">
      <w:pPr>
        <w:suppressAutoHyphens/>
        <w:jc w:val="both"/>
      </w:pPr>
      <w:r w:rsidRPr="00573DF5">
        <w:t>- Лестница с поручнями;</w:t>
      </w:r>
    </w:p>
    <w:p w:rsidR="00BD7FE9" w:rsidRPr="00573DF5" w:rsidRDefault="00BD7FE9" w:rsidP="00BD7FE9">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BD7FE9" w:rsidRPr="00573DF5" w:rsidRDefault="00BD7FE9" w:rsidP="00BD7FE9">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BD7FE9" w:rsidRPr="00573DF5" w:rsidRDefault="00BD7FE9" w:rsidP="00BD7FE9">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BD7FE9" w:rsidRPr="00573DF5" w:rsidRDefault="00BD7FE9" w:rsidP="00BD7FE9">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BD7FE9" w:rsidRPr="00573DF5" w:rsidRDefault="00BD7FE9" w:rsidP="00BD7FE9">
      <w:pPr>
        <w:suppressAutoHyphens/>
        <w:jc w:val="both"/>
      </w:pPr>
      <w:r w:rsidRPr="00573DF5">
        <w:t>- Тактильно-контрастные указатели;</w:t>
      </w:r>
    </w:p>
    <w:p w:rsidR="00BD7FE9" w:rsidRPr="00573DF5" w:rsidRDefault="00BD7FE9" w:rsidP="00BD7FE9">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BD7FE9" w:rsidRPr="00573DF5" w:rsidRDefault="00BD7FE9" w:rsidP="00BD7FE9">
      <w:pPr>
        <w:suppressAutoHyphens/>
        <w:jc w:val="both"/>
        <w:rPr>
          <w:b/>
        </w:rPr>
      </w:pPr>
      <w:r w:rsidRPr="00573DF5">
        <w:rPr>
          <w:b/>
        </w:rPr>
        <w:t>Пути движения внутри пункта (пунктов)</w:t>
      </w:r>
    </w:p>
    <w:p w:rsidR="00BD7FE9" w:rsidRPr="00573DF5" w:rsidRDefault="00BD7FE9" w:rsidP="00BD7FE9">
      <w:pPr>
        <w:suppressAutoHyphens/>
        <w:jc w:val="both"/>
      </w:pPr>
      <w:r w:rsidRPr="00573DF5">
        <w:lastRenderedPageBreak/>
        <w:t>При перепадах высот Поставщик должен учитывать наличие следующих элементов:</w:t>
      </w:r>
    </w:p>
    <w:p w:rsidR="00BD7FE9" w:rsidRPr="00573DF5" w:rsidRDefault="00BD7FE9" w:rsidP="00BD7FE9">
      <w:pPr>
        <w:suppressAutoHyphens/>
        <w:jc w:val="both"/>
      </w:pPr>
      <w:r w:rsidRPr="00573DF5">
        <w:t xml:space="preserve">- Лифт, подъемная платформа, эскалатор </w:t>
      </w:r>
    </w:p>
    <w:p w:rsidR="00BD7FE9" w:rsidRPr="00573DF5" w:rsidRDefault="00BD7FE9" w:rsidP="00BD7FE9">
      <w:pPr>
        <w:suppressAutoHyphens/>
        <w:jc w:val="both"/>
        <w:rPr>
          <w:b/>
        </w:rPr>
      </w:pPr>
      <w:r w:rsidRPr="00573DF5">
        <w:t>(в соответствии с п. 6.2.13 – п. 6.2.18 СП 59.13330.2020).</w:t>
      </w:r>
      <w:r w:rsidRPr="00573DF5">
        <w:rPr>
          <w:b/>
        </w:rPr>
        <w:t xml:space="preserve"> </w:t>
      </w:r>
    </w:p>
    <w:p w:rsidR="00BD7FE9" w:rsidRPr="00573DF5" w:rsidRDefault="00BD7FE9" w:rsidP="00BD7FE9">
      <w:pPr>
        <w:suppressAutoHyphens/>
        <w:jc w:val="both"/>
      </w:pPr>
      <w:r w:rsidRPr="00573DF5">
        <w:t>Лифт должен иметь габариты не менее 1100х1400 мм (ширина х глубина).</w:t>
      </w:r>
    </w:p>
    <w:p w:rsidR="00BD7FE9" w:rsidRPr="00573DF5" w:rsidRDefault="00BD7FE9" w:rsidP="00BD7FE9">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BD7FE9" w:rsidRPr="00573DF5" w:rsidRDefault="00BD7FE9" w:rsidP="00BD7FE9">
      <w:pPr>
        <w:suppressAutoHyphens/>
        <w:jc w:val="both"/>
      </w:pPr>
      <w:r w:rsidRPr="00573DF5">
        <w:t>-   Необходимо обеспечить зону досягаемости для посетителей в кресле-коляске в пределах, установленных в соответствии с п. 8.1.7 СП.59.13330.2020.</w:t>
      </w:r>
    </w:p>
    <w:p w:rsidR="00BD7FE9" w:rsidRPr="00573DF5" w:rsidRDefault="00BD7FE9" w:rsidP="00BD7FE9">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D7FE9" w:rsidRPr="00573DF5" w:rsidRDefault="00BD7FE9" w:rsidP="00BD7FE9">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BD7FE9" w:rsidRPr="00573DF5" w:rsidRDefault="00BD7FE9" w:rsidP="00BD7FE9">
      <w:pPr>
        <w:suppressAutoHyphens/>
        <w:jc w:val="both"/>
      </w:pPr>
      <w:r w:rsidRPr="00573DF5">
        <w:t xml:space="preserve">- </w:t>
      </w:r>
      <w:proofErr w:type="gramStart"/>
      <w:r w:rsidRPr="00573DF5">
        <w:t>В</w:t>
      </w:r>
      <w:proofErr w:type="gramEnd"/>
      <w:r w:rsidRPr="00573DF5">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BD7FE9" w:rsidRPr="00573DF5" w:rsidRDefault="00BD7FE9" w:rsidP="00BD7FE9">
      <w:pPr>
        <w:suppressAutoHyphens/>
        <w:jc w:val="both"/>
        <w:rPr>
          <w:b/>
        </w:rPr>
      </w:pPr>
      <w:r w:rsidRPr="00573DF5">
        <w:rPr>
          <w:b/>
        </w:rPr>
        <w:t>Пути эвакуации</w:t>
      </w:r>
    </w:p>
    <w:p w:rsidR="00BD7FE9" w:rsidRPr="00573DF5" w:rsidRDefault="00BD7FE9" w:rsidP="00BD7FE9">
      <w:pPr>
        <w:suppressAutoHyphens/>
        <w:jc w:val="both"/>
      </w:pPr>
      <w:r w:rsidRPr="00573DF5">
        <w:t xml:space="preserve">В случае невозможности соблюдения положений </w:t>
      </w:r>
      <w:r w:rsidRPr="00573DF5">
        <w:rPr>
          <w:shd w:val="clear" w:color="auto" w:fill="FFFFFF"/>
        </w:rPr>
        <w:t xml:space="preserve">ч.15 ст.89 </w:t>
      </w:r>
      <w:r w:rsidRPr="00BD7FE9">
        <w:rPr>
          <w:spacing w:val="2"/>
        </w:rPr>
        <w:t>Федерального закона от 22.07.2008 N 123-ФЗ «Технический регламент о требованиях пожарной безопасности</w:t>
      </w:r>
      <w:r w:rsidRPr="00573DF5">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BD7FE9" w:rsidRPr="00573DF5" w:rsidRDefault="00BD7FE9" w:rsidP="00BD7FE9">
      <w:pPr>
        <w:suppressAutoHyphens/>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BD7FE9" w:rsidRPr="00573DF5" w:rsidRDefault="00BD7FE9" w:rsidP="00BD7FE9">
      <w:pPr>
        <w:suppressAutoHyphens/>
        <w:jc w:val="both"/>
      </w:pPr>
      <w:r w:rsidRPr="00573DF5">
        <w:t>Обеспечить систему двухсторонней связи с диспетчером или дежурным (в соответствии с п. 6.5.8 СП 59.13330.2020).</w:t>
      </w:r>
    </w:p>
    <w:p w:rsidR="00BD7FE9" w:rsidRPr="00573DF5" w:rsidRDefault="00BD7FE9" w:rsidP="00BD7FE9">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Актуализированная редакция СНиП 2.09.04-87</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5" w:history="1">
        <w:r w:rsidRPr="00573DF5">
          <w:t>СП 59.13330.2020 «Доступность зданий и сооружений для маломобильных групп населения»</w:t>
        </w:r>
      </w:hyperlink>
      <w:r w:rsidRPr="00573DF5">
        <w:t>.</w:t>
      </w:r>
    </w:p>
    <w:p w:rsidR="00BD7FE9" w:rsidRPr="00573DF5" w:rsidRDefault="00BD7FE9" w:rsidP="00BD7FE9">
      <w:pPr>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BD7FE9" w:rsidRPr="00573DF5" w:rsidRDefault="00BD7FE9" w:rsidP="00BD7FE9">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D7FE9" w:rsidRPr="00573DF5" w:rsidRDefault="00BD7FE9" w:rsidP="00BD7FE9">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BD7FE9" w:rsidRPr="00573DF5" w:rsidRDefault="00BD7FE9" w:rsidP="00BD7FE9">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w:t>
      </w:r>
      <w:r w:rsidRPr="00573DF5">
        <w:lastRenderedPageBreak/>
        <w:t>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D7FE9" w:rsidRPr="00573DF5" w:rsidRDefault="00BD7FE9" w:rsidP="00BD7FE9">
      <w:pPr>
        <w:widowControl w:val="0"/>
        <w:jc w:val="both"/>
      </w:pPr>
      <w:r w:rsidRPr="00573DF5">
        <w:t>- возможность беспрепятственного входа в объекты и выхода из них;</w:t>
      </w:r>
    </w:p>
    <w:p w:rsidR="00BD7FE9" w:rsidRPr="00573DF5" w:rsidRDefault="00BD7FE9" w:rsidP="00BD7FE9">
      <w:pPr>
        <w:widowControl w:val="0"/>
        <w:jc w:val="both"/>
      </w:pPr>
      <w:r w:rsidRPr="00573DF5">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73DF5">
        <w:t>ассистивных</w:t>
      </w:r>
      <w:proofErr w:type="spellEnd"/>
      <w:r w:rsidRPr="00573DF5">
        <w:t xml:space="preserve"> и вспомогательных технологий, а также сменного кресла-коляски;</w:t>
      </w:r>
    </w:p>
    <w:p w:rsidR="00BD7FE9" w:rsidRPr="00573DF5" w:rsidRDefault="00BD7FE9" w:rsidP="00BD7FE9">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BD7FE9" w:rsidRPr="00573DF5" w:rsidRDefault="00BD7FE9" w:rsidP="00BD7FE9">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BD7FE9" w:rsidRPr="00573DF5" w:rsidRDefault="00BD7FE9" w:rsidP="00BD7FE9">
      <w:pPr>
        <w:widowControl w:val="0"/>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D7FE9" w:rsidRPr="00573DF5" w:rsidRDefault="00BD7FE9" w:rsidP="00BD7FE9">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6" w:anchor="block_1000" w:history="1">
        <w:r w:rsidRPr="00573DF5">
          <w:t>форме</w:t>
        </w:r>
      </w:hyperlink>
      <w:r w:rsidRPr="00573DF5">
        <w:t xml:space="preserve"> и в </w:t>
      </w:r>
      <w:hyperlink r:id="rId7" w:anchor="block_2000" w:history="1">
        <w:r w:rsidRPr="00573DF5">
          <w:t>порядке</w:t>
        </w:r>
      </w:hyperlink>
      <w:r w:rsidRPr="00573DF5">
        <w:t xml:space="preserve">, утвержденных </w:t>
      </w:r>
      <w:hyperlink r:id="rId8"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BD7FE9" w:rsidRPr="00573DF5" w:rsidRDefault="00BD7FE9" w:rsidP="00BD7FE9">
      <w:pPr>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BD7FE9" w:rsidRPr="00573DF5" w:rsidRDefault="00BD7FE9" w:rsidP="00BD7FE9">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t xml:space="preserve"> с направлением, но не ранее 09.01.2025 г. </w:t>
      </w:r>
      <w:r w:rsidRPr="00573DF5">
        <w:t>На отрывном талоне направления Поставщик в обязательном порядке проставляет дату обращения Получателя.</w:t>
      </w:r>
    </w:p>
    <w:p w:rsidR="00BD7FE9" w:rsidRPr="00573DF5" w:rsidRDefault="00BD7FE9" w:rsidP="00BD7FE9">
      <w:pPr>
        <w:jc w:val="both"/>
      </w:pPr>
      <w:r w:rsidRPr="00573DF5">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w:t>
      </w:r>
      <w:r>
        <w:t>5</w:t>
      </w:r>
      <w:r w:rsidRPr="00573DF5">
        <w:t xml:space="preserve"> (</w:t>
      </w:r>
      <w:r>
        <w:t>пяти</w:t>
      </w:r>
      <w:r w:rsidRPr="00573DF5">
        <w:t>) дней неделю, не менее 40 (сорока) часов в неделю, при этом, время работы должно быть в интервале с 08:00 до 22:00.</w:t>
      </w:r>
    </w:p>
    <w:p w:rsidR="00BD7FE9" w:rsidRPr="00573DF5" w:rsidRDefault="00BD7FE9" w:rsidP="00BD7FE9">
      <w:pPr>
        <w:suppressAutoHyphens/>
        <w:jc w:val="both"/>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 и Ленинградской области</w:t>
      </w:r>
      <w:r w:rsidRPr="00573DF5">
        <w:t>, не менее</w:t>
      </w:r>
      <w:r>
        <w:t xml:space="preserve"> чем с 10:00 до 21:00 не менее 5</w:t>
      </w:r>
      <w:r w:rsidRPr="00573DF5">
        <w:t xml:space="preserve"> (</w:t>
      </w:r>
      <w:r>
        <w:t>пяти</w:t>
      </w:r>
      <w:r w:rsidRPr="00573DF5">
        <w:t xml:space="preserve">) дней </w:t>
      </w:r>
      <w:r>
        <w:t xml:space="preserve">в </w:t>
      </w:r>
      <w:r w:rsidRPr="00573DF5">
        <w:t>неделю, по предварительной записи по телефону, предоставленному Заказчику в срок со дня, следующего за днем заключения контракта</w:t>
      </w:r>
      <w:r>
        <w:t>, но не ранее 09.01.2025</w:t>
      </w:r>
      <w:r w:rsidRPr="00573DF5">
        <w:t>. Доставка осуществляется за счет средств Поставщика.</w:t>
      </w:r>
    </w:p>
    <w:p w:rsidR="00BD7FE9" w:rsidRPr="00573DF5" w:rsidRDefault="00BD7FE9" w:rsidP="00BD7FE9">
      <w:pPr>
        <w:suppressAutoHyphens/>
        <w:jc w:val="both"/>
      </w:pPr>
      <w:r w:rsidRPr="00573DF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BD7FE9" w:rsidRPr="00573DF5" w:rsidRDefault="00BD7FE9" w:rsidP="00BD7FE9">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D7FE9" w:rsidRPr="00573DF5" w:rsidRDefault="00BD7FE9" w:rsidP="00BD7FE9">
      <w:pPr>
        <w:suppressAutoHyphens/>
        <w:jc w:val="both"/>
      </w:pPr>
      <w:r w:rsidRPr="00573DF5">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w:t>
      </w:r>
      <w:r w:rsidRPr="00573DF5">
        <w:lastRenderedPageBreak/>
        <w:t>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Технического задания. При проведении проверки Заказчик вправе осуществлять </w:t>
      </w:r>
      <w:proofErr w:type="spellStart"/>
      <w:r w:rsidRPr="00573DF5">
        <w:t>фотофиксацию</w:t>
      </w:r>
      <w:proofErr w:type="spellEnd"/>
      <w:r w:rsidRPr="00573DF5">
        <w:t xml:space="preserve"> и/или видеозапись.</w:t>
      </w:r>
    </w:p>
    <w:p w:rsidR="00BD7FE9" w:rsidRPr="00573DF5" w:rsidRDefault="00BD7FE9" w:rsidP="00BD7FE9">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9" w:history="1">
        <w:r w:rsidRPr="00573DF5">
          <w:rPr>
            <w:rStyle w:val="a3"/>
          </w:rPr>
          <w:t>osp@ro78.fss.ru</w:t>
        </w:r>
      </w:hyperlink>
      <w:r>
        <w:t>.</w:t>
      </w:r>
    </w:p>
    <w:p w:rsidR="00BD7FE9" w:rsidRPr="00573DF5" w:rsidRDefault="00BD7FE9" w:rsidP="00BD7FE9">
      <w:pPr>
        <w:suppressAutoHyphens/>
        <w:jc w:val="both"/>
      </w:pPr>
      <w:r w:rsidRPr="00573DF5">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5C7192" w:rsidRDefault="005C7192"/>
    <w:sectPr w:rsidR="005C7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92"/>
    <w:rsid w:val="00525592"/>
    <w:rsid w:val="005C7192"/>
    <w:rsid w:val="00A12751"/>
    <w:rsid w:val="00BD7FE9"/>
    <w:rsid w:val="00EF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E63A-D701-43EB-8703-78FC2130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E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7FE9"/>
    <w:rPr>
      <w:rFonts w:cs="Times New Roman"/>
      <w:color w:val="0000FF"/>
      <w:u w:val="single"/>
    </w:rPr>
  </w:style>
  <w:style w:type="paragraph" w:styleId="a4">
    <w:name w:val="List Paragraph"/>
    <w:basedOn w:val="a"/>
    <w:link w:val="a5"/>
    <w:uiPriority w:val="34"/>
    <w:qFormat/>
    <w:rsid w:val="00BD7FE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basedOn w:val="a0"/>
    <w:link w:val="a4"/>
    <w:uiPriority w:val="34"/>
    <w:rsid w:val="00BD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 TargetMode="External"/><Relationship Id="rId3" Type="http://schemas.openxmlformats.org/officeDocument/2006/relationships/settings" Target="settings.xml"/><Relationship Id="rId7" Type="http://schemas.openxmlformats.org/officeDocument/2006/relationships/hyperlink" Target="http://base.garant.ru/71145140/f7ee959fd36b5699076b35abf4f52c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145140/53f89421bbdaf741eb2d1ecc4ddb4c33/" TargetMode="External"/><Relationship Id="rId11" Type="http://schemas.openxmlformats.org/officeDocument/2006/relationships/theme" Target="theme/theme1.xml"/><Relationship Id="rId5" Type="http://schemas.openxmlformats.org/officeDocument/2006/relationships/hyperlink" Target="https://www.minstroyrf.ru/docs/132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4183</Words>
  <Characters>23847</Characters>
  <Application>Microsoft Office Word</Application>
  <DocSecurity>0</DocSecurity>
  <Lines>198</Lines>
  <Paragraphs>55</Paragraphs>
  <ScaleCrop>false</ScaleCrop>
  <Company/>
  <LinksUpToDate>false</LinksUpToDate>
  <CharactersWithSpaces>27975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4</cp:revision>
  <dcterms:created xsi:type="dcterms:W3CDTF">2024-11-07T12:24:00Z</dcterms:created>
  <dcterms:modified xsi:type="dcterms:W3CDTF">2024-11-07T12:57:00Z</dcterms:modified>
</cp:coreProperties>
</file>