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19" w:rsidRPr="00BD6135" w:rsidRDefault="00F91C0D" w:rsidP="00AB07E9">
      <w:pPr>
        <w:widowControl w:val="0"/>
        <w:jc w:val="right"/>
        <w:rPr>
          <w:sz w:val="22"/>
          <w:szCs w:val="22"/>
        </w:rPr>
      </w:pPr>
      <w:r w:rsidRPr="00BD6135">
        <w:rPr>
          <w:sz w:val="22"/>
          <w:szCs w:val="22"/>
        </w:rPr>
        <w:t>Приложение № 1</w:t>
      </w:r>
      <w:r w:rsidR="00E9591B">
        <w:rPr>
          <w:sz w:val="22"/>
          <w:szCs w:val="22"/>
        </w:rPr>
        <w:t xml:space="preserve"> Описание объекта закупки</w:t>
      </w:r>
    </w:p>
    <w:p w:rsidR="00360B19" w:rsidRDefault="00360B19" w:rsidP="00AB07E9">
      <w:pPr>
        <w:widowControl w:val="0"/>
        <w:jc w:val="center"/>
        <w:rPr>
          <w:sz w:val="24"/>
          <w:szCs w:val="26"/>
        </w:rPr>
      </w:pPr>
    </w:p>
    <w:p w:rsidR="00360B19" w:rsidRPr="00AB07E9" w:rsidRDefault="00360B19" w:rsidP="00AB07E9">
      <w:pPr>
        <w:widowControl w:val="0"/>
        <w:jc w:val="center"/>
        <w:rPr>
          <w:sz w:val="26"/>
          <w:szCs w:val="26"/>
        </w:rPr>
      </w:pPr>
      <w:r w:rsidRPr="00AB07E9">
        <w:rPr>
          <w:sz w:val="26"/>
          <w:szCs w:val="26"/>
        </w:rPr>
        <w:t>Техническое задание</w:t>
      </w:r>
    </w:p>
    <w:p w:rsidR="00360B19" w:rsidRDefault="00D55359" w:rsidP="00AB07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A26BE9">
        <w:rPr>
          <w:bCs/>
          <w:sz w:val="24"/>
          <w:szCs w:val="24"/>
        </w:rPr>
        <w:t>н</w:t>
      </w:r>
      <w:r w:rsidR="00360B19" w:rsidRPr="00A26BE9">
        <w:rPr>
          <w:bCs/>
          <w:sz w:val="24"/>
          <w:szCs w:val="24"/>
        </w:rPr>
        <w:t>а</w:t>
      </w:r>
      <w:r w:rsidR="00AB07E9" w:rsidRPr="00A26BE9">
        <w:rPr>
          <w:bCs/>
          <w:sz w:val="24"/>
          <w:szCs w:val="24"/>
        </w:rPr>
        <w:t xml:space="preserve"> </w:t>
      </w:r>
      <w:r w:rsidR="00A26BE9" w:rsidRPr="00A26BE9">
        <w:rPr>
          <w:bCs/>
          <w:sz w:val="24"/>
          <w:szCs w:val="24"/>
        </w:rPr>
        <w:t>в</w:t>
      </w:r>
      <w:r w:rsidR="00A26BE9" w:rsidRPr="00A26BE9">
        <w:rPr>
          <w:sz w:val="24"/>
          <w:szCs w:val="24"/>
        </w:rPr>
        <w:t>ыполнение работ по обеспечению Получателей, проживающих в Республике Северная Осетия</w:t>
      </w:r>
      <w:r w:rsidR="00C37630">
        <w:rPr>
          <w:sz w:val="24"/>
          <w:szCs w:val="24"/>
        </w:rPr>
        <w:t xml:space="preserve"> - Алания, протезами </w:t>
      </w:r>
      <w:r w:rsidR="00A26BE9" w:rsidRPr="00A26BE9">
        <w:rPr>
          <w:sz w:val="24"/>
          <w:szCs w:val="24"/>
        </w:rPr>
        <w:t>нижних конечностей</w:t>
      </w:r>
    </w:p>
    <w:p w:rsidR="00A26BE9" w:rsidRDefault="00A26BE9" w:rsidP="00AB07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343" w:type="pct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"/>
        <w:gridCol w:w="1633"/>
        <w:gridCol w:w="1487"/>
        <w:gridCol w:w="1972"/>
        <w:gridCol w:w="3596"/>
        <w:gridCol w:w="1102"/>
      </w:tblGrid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30" w:rsidRPr="00011575" w:rsidRDefault="00C37630" w:rsidP="00823ABC">
            <w:pPr>
              <w:widowControl w:val="0"/>
              <w:shd w:val="clear" w:color="auto" w:fill="FFFFFF"/>
              <w:spacing w:before="100" w:after="100"/>
              <w:jc w:val="center"/>
              <w:rPr>
                <w:snapToGrid w:val="0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№м п/п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color w:val="000000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ind w:left="9" w:hanging="9"/>
              <w:jc w:val="both"/>
              <w:rPr>
                <w:color w:val="000000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Номер вида технического средства реабилитации (изделия) и его наименования*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Код по ОКПД2/КОЗ/ КТРУ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color w:val="000000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Количество (шт.)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spacing w:after="120"/>
              <w:ind w:left="283" w:hanging="283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>8-07-10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color w:val="000000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32.50.22.121/03.29.08.07.10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Протез бедра модульный. Формообразующая часть косметической облицовки модульная мягкая полиуретановая. Косметическое покрытие облицовки чулки ортопедические </w:t>
            </w:r>
            <w:proofErr w:type="spellStart"/>
            <w:r w:rsidRPr="00011575">
              <w:rPr>
                <w:rFonts w:eastAsia="Arial Unicode MS"/>
                <w:kern w:val="3"/>
                <w:sz w:val="20"/>
                <w:szCs w:val="20"/>
              </w:rPr>
              <w:t>перлоновые</w:t>
            </w:r>
            <w:proofErr w:type="spellEnd"/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. Приемная гильза индивидуальная 1 шт. (пробные гильзы 2 шт.) Материал постоянной гильзы литьевой слоистый пластик на основе акриловых смол. Крепление протеза вакуумное с использованием бандажа. Регулировочно - соединительное устройство будет соответствовать весу пациента. Стопа со средней степенью энергосбережения. Коленный шарнир шестизвенный, </w:t>
            </w:r>
            <w:r w:rsidRPr="007D2ABE">
              <w:rPr>
                <w:rFonts w:eastAsia="Arial Unicode MS"/>
                <w:kern w:val="3"/>
                <w:sz w:val="20"/>
                <w:szCs w:val="20"/>
              </w:rPr>
              <w:t>гидравлический с MRS системой или эквивалент.</w:t>
            </w:r>
            <w:r w:rsidRPr="007D2ABE">
              <w:rPr>
                <w:sz w:val="20"/>
                <w:szCs w:val="20"/>
              </w:rPr>
              <w:t xml:space="preserve"> Срок службы не</w:t>
            </w:r>
            <w:r w:rsidRPr="00011575">
              <w:rPr>
                <w:color w:val="000000"/>
                <w:sz w:val="20"/>
                <w:szCs w:val="20"/>
              </w:rPr>
              <w:t xml:space="preserve"> менее 2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1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spacing w:after="120"/>
              <w:ind w:left="283" w:hanging="283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>8-07-09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color w:val="000000"/>
                <w:sz w:val="20"/>
                <w:szCs w:val="20"/>
              </w:rPr>
              <w:t>32.50.22.121/03.29.08.07.09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Протез голени с силиконовым чехлом (2 шт.) на среднюю культю, модульный. Формообразующая часть косметической облицовки модульная мягкая полиуретановая, листовой поролон или полужесткая эластичная. Косметическое покрытие облицовки чулки ортопедические </w:t>
            </w:r>
            <w:proofErr w:type="spellStart"/>
            <w:r w:rsidRPr="00011575">
              <w:rPr>
                <w:rFonts w:eastAsia="Arial Unicode MS"/>
                <w:kern w:val="3"/>
                <w:sz w:val="20"/>
                <w:szCs w:val="20"/>
              </w:rPr>
              <w:t>перлоновые</w:t>
            </w:r>
            <w:proofErr w:type="spellEnd"/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 или </w:t>
            </w:r>
            <w:proofErr w:type="spellStart"/>
            <w:r w:rsidRPr="00011575">
              <w:rPr>
                <w:rFonts w:eastAsia="Arial Unicode MS"/>
                <w:kern w:val="3"/>
                <w:sz w:val="20"/>
                <w:szCs w:val="20"/>
              </w:rPr>
              <w:t>силоновые</w:t>
            </w:r>
            <w:proofErr w:type="spellEnd"/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. Приемная гильза индивидуальная 1 шт. (пробная гильза 1 шт.). Материал индивидуальной постоянной гильзы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011575">
              <w:rPr>
                <w:rFonts w:eastAsia="Arial Unicode MS"/>
                <w:kern w:val="3"/>
                <w:sz w:val="20"/>
                <w:szCs w:val="20"/>
              </w:rPr>
              <w:t>гелевые</w:t>
            </w:r>
            <w:proofErr w:type="spellEnd"/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, крепления с использованием замка и силиконового наколенника (1шт.) Регулировочно-соединительные устройства будут соответствовать весу пациента. В протез интегрирован торсионный РСУ, что обеспечивает большую безопасность и подвижность пациента. Стопа с гидравлической системой, с разделенной носочной и пяточной областью. В комплектацию протеза входят средства по уходу за </w:t>
            </w:r>
            <w:proofErr w:type="spellStart"/>
            <w:r w:rsidRPr="00011575">
              <w:rPr>
                <w:rFonts w:eastAsia="Arial Unicode MS"/>
                <w:kern w:val="3"/>
                <w:sz w:val="20"/>
                <w:szCs w:val="20"/>
              </w:rPr>
              <w:t>кожанными</w:t>
            </w:r>
            <w:proofErr w:type="spellEnd"/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 покровами культи, обладающие дезинфицирующими, восстанавливающими и смягчающими свойствами. Тип протеза: любой по назначению.</w:t>
            </w:r>
            <w:r w:rsidRPr="00011575">
              <w:rPr>
                <w:color w:val="000000"/>
                <w:sz w:val="20"/>
                <w:szCs w:val="20"/>
              </w:rPr>
              <w:t xml:space="preserve"> Срок службы не менее 2-х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1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Протез бедра модульный, в том числе при </w:t>
            </w:r>
            <w:r w:rsidRPr="00011575">
              <w:rPr>
                <w:rFonts w:eastAsia="Arial Unicode MS"/>
                <w:kern w:val="3"/>
                <w:sz w:val="20"/>
                <w:szCs w:val="20"/>
              </w:rPr>
              <w:lastRenderedPageBreak/>
              <w:t>врожденном недоразвитии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spacing w:after="120"/>
              <w:ind w:left="283" w:hanging="283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lastRenderedPageBreak/>
              <w:t>8-07-10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color w:val="000000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32.50.22.121/03.29.08.07.10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"/>
                <w:kern w:val="3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</w:t>
            </w:r>
            <w:r w:rsidRPr="00011575">
              <w:rPr>
                <w:rFonts w:eastAsia="Arial"/>
                <w:kern w:val="3"/>
                <w:sz w:val="20"/>
                <w:szCs w:val="20"/>
              </w:rPr>
              <w:lastRenderedPageBreak/>
              <w:t xml:space="preserve">покрытие облицовки чулки ортопедические </w:t>
            </w:r>
            <w:proofErr w:type="spellStart"/>
            <w:r w:rsidRPr="00011575">
              <w:rPr>
                <w:rFonts w:eastAsia="Arial"/>
                <w:kern w:val="3"/>
                <w:sz w:val="20"/>
                <w:szCs w:val="20"/>
              </w:rPr>
              <w:t>перлоновые</w:t>
            </w:r>
            <w:proofErr w:type="spellEnd"/>
            <w:r w:rsidRPr="00011575">
              <w:rPr>
                <w:rFonts w:eastAsia="Arial"/>
                <w:kern w:val="3"/>
                <w:sz w:val="20"/>
                <w:szCs w:val="20"/>
              </w:rPr>
              <w:t>. Пробная (примерочная) гильза изготавливается из листового жесткого ударопрочного антибактериального материала, толщиной</w:t>
            </w:r>
            <w:r>
              <w:rPr>
                <w:rFonts w:eastAsia="Arial"/>
                <w:kern w:val="3"/>
                <w:sz w:val="20"/>
                <w:szCs w:val="20"/>
              </w:rPr>
              <w:t xml:space="preserve"> не менее</w:t>
            </w:r>
            <w:r w:rsidRPr="00011575">
              <w:rPr>
                <w:rFonts w:eastAsia="Arial"/>
                <w:kern w:val="3"/>
                <w:sz w:val="20"/>
                <w:szCs w:val="20"/>
              </w:rPr>
              <w:t xml:space="preserve"> 20 мм – 1 шт.) Приемная гильза индивидуальная 1 шт. Материал постоянной гильзы: литьевой слоистый пластик на основе акриловых смол. Крепление протеза вакуумное с использованием бандажа или пояса. Регулировочно - соединительное устройство будет соответствовать весу пациента. Стопа </w:t>
            </w:r>
            <w:proofErr w:type="spellStart"/>
            <w:r w:rsidRPr="00011575">
              <w:rPr>
                <w:rFonts w:eastAsia="Arial"/>
                <w:kern w:val="3"/>
                <w:sz w:val="20"/>
                <w:szCs w:val="20"/>
              </w:rPr>
              <w:t>углепластиковая</w:t>
            </w:r>
            <w:proofErr w:type="spellEnd"/>
            <w:r w:rsidRPr="00011575">
              <w:rPr>
                <w:rFonts w:eastAsia="Arial"/>
                <w:kern w:val="3"/>
                <w:sz w:val="20"/>
                <w:szCs w:val="20"/>
              </w:rPr>
              <w:t xml:space="preserve"> с регулируемой высотой каблука. Модульный коленный шарнир</w:t>
            </w:r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 </w:t>
            </w:r>
            <w:r w:rsidRPr="00011575">
              <w:rPr>
                <w:rFonts w:eastAsia="Arial"/>
                <w:kern w:val="3"/>
                <w:sz w:val="20"/>
                <w:szCs w:val="20"/>
              </w:rPr>
              <w:t xml:space="preserve">с тормозным механизмом, одноосный с толкателем. </w:t>
            </w:r>
            <w:r w:rsidRPr="00011575">
              <w:rPr>
                <w:color w:val="000000"/>
                <w:sz w:val="20"/>
                <w:szCs w:val="20"/>
              </w:rPr>
              <w:t>Срок службы не менее 2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lastRenderedPageBreak/>
              <w:t>1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spacing w:after="120"/>
              <w:ind w:left="283" w:hanging="283"/>
              <w:rPr>
                <w:color w:val="000000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>8-07-09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color w:val="000000"/>
                <w:sz w:val="20"/>
                <w:szCs w:val="20"/>
              </w:rPr>
              <w:t>32.50.22.121/03.29.08.07.09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Протез голени модульный, в том числе при недоразвитии, для пациентов высокого уровня активности. Формообразующая часть косметической оболочки полужесткая (эластичная). Косметическое покрытие облицовки чулки ортопедические </w:t>
            </w:r>
            <w:proofErr w:type="spellStart"/>
            <w:r w:rsidRPr="00011575">
              <w:rPr>
                <w:rFonts w:eastAsia="Arial Unicode MS"/>
                <w:kern w:val="3"/>
                <w:sz w:val="20"/>
                <w:szCs w:val="20"/>
              </w:rPr>
              <w:t>перлоновые</w:t>
            </w:r>
            <w:proofErr w:type="spellEnd"/>
            <w:r w:rsidRPr="00011575">
              <w:rPr>
                <w:rFonts w:eastAsia="Arial Unicode MS"/>
                <w:kern w:val="3"/>
                <w:sz w:val="20"/>
                <w:szCs w:val="20"/>
              </w:rPr>
              <w:t>. Пробная (примерочная) гильза изготавливается из листового жесткого ударопрочного антибактериального материала толщиной</w:t>
            </w:r>
            <w:r>
              <w:rPr>
                <w:rFonts w:eastAsia="Arial Unicode MS"/>
                <w:kern w:val="3"/>
                <w:sz w:val="20"/>
                <w:szCs w:val="20"/>
              </w:rPr>
              <w:t xml:space="preserve"> </w:t>
            </w:r>
            <w:r w:rsidRPr="00400010">
              <w:rPr>
                <w:rFonts w:eastAsia="Arial Unicode MS"/>
                <w:kern w:val="3"/>
                <w:sz w:val="20"/>
                <w:szCs w:val="20"/>
              </w:rPr>
              <w:t>не менее</w:t>
            </w:r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 12 мм (2 шт.). Постоянная приемная гильза индивидуальная, по слепку с культи пациента. Материал индивидуальной постоянной гильзы литьевой слоистый пластик на основе акриловых смол и </w:t>
            </w:r>
            <w:proofErr w:type="spellStart"/>
            <w:r w:rsidRPr="00011575">
              <w:rPr>
                <w:rFonts w:eastAsia="Arial Unicode MS"/>
                <w:kern w:val="3"/>
                <w:sz w:val="20"/>
                <w:szCs w:val="20"/>
              </w:rPr>
              <w:t>корбона</w:t>
            </w:r>
            <w:proofErr w:type="spellEnd"/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. Вкладная гильза из вспененных материалов. Крепление протеза с использованием наколенника (2 шт.). Регулировочно-соединительные устройства будут соответствовать весу пациента. Стопа </w:t>
            </w:r>
            <w:proofErr w:type="spellStart"/>
            <w:r w:rsidRPr="00011575">
              <w:rPr>
                <w:rFonts w:eastAsia="Arial Unicode MS"/>
                <w:kern w:val="3"/>
                <w:sz w:val="20"/>
                <w:szCs w:val="20"/>
              </w:rPr>
              <w:t>углепластиковая</w:t>
            </w:r>
            <w:proofErr w:type="spellEnd"/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 с высокой степенью энергосбережения, с расщепленной носочной частью, с отведенным большим пальцем, дополнительной J-образной пружиной, возможность выбора жесткости под массу и активность пациента, позволяющая передвигаться с разным темпом. </w:t>
            </w:r>
          </w:p>
          <w:p w:rsidR="00C37630" w:rsidRPr="00011575" w:rsidRDefault="00C37630" w:rsidP="00823ABC">
            <w:pPr>
              <w:snapToGrid w:val="0"/>
              <w:jc w:val="both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rFonts w:eastAsia="Arial Unicode MS"/>
                <w:kern w:val="3"/>
                <w:sz w:val="20"/>
                <w:szCs w:val="20"/>
              </w:rPr>
              <w:t xml:space="preserve">Тип протеза: постоянный. </w:t>
            </w:r>
            <w:r w:rsidRPr="00011575">
              <w:rPr>
                <w:color w:val="000000"/>
                <w:sz w:val="20"/>
                <w:szCs w:val="20"/>
              </w:rPr>
              <w:t>Срок службы не менее 2-х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2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8-07-04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8F5098" w:rsidRDefault="00C37630" w:rsidP="00823ABC">
            <w:pPr>
              <w:jc w:val="both"/>
              <w:rPr>
                <w:sz w:val="20"/>
                <w:szCs w:val="20"/>
              </w:rPr>
            </w:pPr>
            <w:r w:rsidRPr="008F5098">
              <w:rPr>
                <w:sz w:val="20"/>
                <w:szCs w:val="20"/>
              </w:rPr>
              <w:t>32.50.22.121/03.29.08.07.04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 xml:space="preserve">Протез голени модульный, для купания, с несущей приемной гильзой из слоистого пластика на основе акриловых смол. Стопа </w:t>
            </w:r>
            <w:proofErr w:type="spellStart"/>
            <w:r w:rsidRPr="00011575">
              <w:rPr>
                <w:sz w:val="20"/>
                <w:szCs w:val="20"/>
              </w:rPr>
              <w:t>бесшарнирная</w:t>
            </w:r>
            <w:proofErr w:type="spellEnd"/>
            <w:r w:rsidRPr="00011575">
              <w:rPr>
                <w:sz w:val="20"/>
                <w:szCs w:val="20"/>
              </w:rPr>
              <w:t xml:space="preserve"> </w:t>
            </w:r>
            <w:proofErr w:type="gramStart"/>
            <w:r w:rsidRPr="00011575">
              <w:rPr>
                <w:sz w:val="20"/>
                <w:szCs w:val="20"/>
              </w:rPr>
              <w:t>влагозащищенная  рифленым</w:t>
            </w:r>
            <w:proofErr w:type="gramEnd"/>
            <w:r w:rsidRPr="00011575">
              <w:rPr>
                <w:sz w:val="20"/>
                <w:szCs w:val="20"/>
              </w:rPr>
              <w:t xml:space="preserve"> профилем подошвы. Без косметической облицовки. Комплектующие и РСУ-влагозащищенный </w:t>
            </w:r>
            <w:proofErr w:type="gramStart"/>
            <w:r w:rsidRPr="00011575">
              <w:rPr>
                <w:sz w:val="20"/>
                <w:szCs w:val="20"/>
              </w:rPr>
              <w:t>материал  на</w:t>
            </w:r>
            <w:proofErr w:type="gramEnd"/>
            <w:r w:rsidRPr="00011575">
              <w:rPr>
                <w:sz w:val="20"/>
                <w:szCs w:val="20"/>
              </w:rPr>
              <w:t xml:space="preserve"> нагрузку  соответствующую  весу   пациента.  </w:t>
            </w:r>
            <w:r w:rsidRPr="00463A3F">
              <w:rPr>
                <w:sz w:val="20"/>
                <w:szCs w:val="20"/>
              </w:rPr>
              <w:t xml:space="preserve">Вкладная гильза из </w:t>
            </w:r>
            <w:proofErr w:type="spellStart"/>
            <w:proofErr w:type="gramStart"/>
            <w:r w:rsidRPr="00463A3F">
              <w:rPr>
                <w:sz w:val="20"/>
                <w:szCs w:val="20"/>
              </w:rPr>
              <w:t>вспенных</w:t>
            </w:r>
            <w:proofErr w:type="spellEnd"/>
            <w:r w:rsidRPr="00463A3F">
              <w:rPr>
                <w:sz w:val="20"/>
                <w:szCs w:val="20"/>
              </w:rPr>
              <w:t xml:space="preserve">  материалов</w:t>
            </w:r>
            <w:proofErr w:type="gramEnd"/>
            <w:r w:rsidRPr="00463A3F">
              <w:rPr>
                <w:sz w:val="20"/>
                <w:szCs w:val="20"/>
              </w:rPr>
              <w:t xml:space="preserve">. </w:t>
            </w:r>
            <w:proofErr w:type="gramStart"/>
            <w:r w:rsidRPr="00463A3F">
              <w:rPr>
                <w:sz w:val="20"/>
                <w:szCs w:val="20"/>
              </w:rPr>
              <w:t>Крепление  с</w:t>
            </w:r>
            <w:proofErr w:type="gramEnd"/>
            <w:r w:rsidRPr="00463A3F">
              <w:rPr>
                <w:sz w:val="20"/>
                <w:szCs w:val="20"/>
              </w:rPr>
              <w:t xml:space="preserve"> помощью наколенника. </w:t>
            </w:r>
            <w:r w:rsidRPr="00463A3F">
              <w:rPr>
                <w:color w:val="000000"/>
                <w:sz w:val="20"/>
                <w:szCs w:val="20"/>
              </w:rPr>
              <w:t>Срок службы не менее 3-х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1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8-07-10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32.50.22.121/03.29.08.07.10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модульная мягкая полиуретановая. Косметическое покрытие облицовки - чулки ортопедические </w:t>
            </w:r>
            <w:proofErr w:type="spellStart"/>
            <w:r w:rsidRPr="00011575">
              <w:rPr>
                <w:sz w:val="20"/>
                <w:szCs w:val="20"/>
              </w:rPr>
              <w:t>перлоновые</w:t>
            </w:r>
            <w:proofErr w:type="spellEnd"/>
            <w:r w:rsidRPr="00011575">
              <w:rPr>
                <w:sz w:val="20"/>
                <w:szCs w:val="20"/>
              </w:rPr>
              <w:t xml:space="preserve">. Приемная гильза индивидуальная 1 шт. (пробная гильза 1 шт.) Материал индивидуальной постоянной гильзы литьевой пластик на основе акриловых смол. Допускается применение вкладной гильзы из эластичных термопластов. Крепление протеза вакуумное. Регулировочно-соединительные устройства соответствуют весу пациента. Стопа со средней степенью энергосбережения. Коленный шарнир полицентрический с системой </w:t>
            </w:r>
            <w:r w:rsidRPr="00011575">
              <w:rPr>
                <w:sz w:val="20"/>
                <w:szCs w:val="20"/>
                <w:lang w:val="en-US"/>
              </w:rPr>
              <w:t>EBS</w:t>
            </w:r>
            <w:r w:rsidRPr="00011575">
              <w:rPr>
                <w:sz w:val="20"/>
                <w:szCs w:val="20"/>
              </w:rPr>
              <w:t xml:space="preserve"> (или эквивалент) с гидравлическим управлением фазой переноса. Функциональный узел протеза бедра выполняет заданную функцию, будет иметь конструктивно-технологическую завершенность и будет иметь поворотное устройство</w:t>
            </w:r>
            <w:r w:rsidRPr="004035E4">
              <w:rPr>
                <w:sz w:val="20"/>
                <w:szCs w:val="20"/>
              </w:rPr>
              <w:t xml:space="preserve">. </w:t>
            </w:r>
            <w:r w:rsidRPr="004035E4">
              <w:rPr>
                <w:color w:val="000000"/>
                <w:sz w:val="20"/>
                <w:szCs w:val="20"/>
              </w:rPr>
              <w:t>Срок службы не менее 2-х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1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8-07-10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32.50.22.121/03.29.08.07.10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4035E4" w:rsidRDefault="00C37630" w:rsidP="00823ABC">
            <w:pPr>
              <w:snapToGrid w:val="0"/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модульная мягкая полиуретановая. Косметическое покрытие облицовки чулки ортопедические </w:t>
            </w:r>
            <w:proofErr w:type="spellStart"/>
            <w:r w:rsidRPr="00011575">
              <w:rPr>
                <w:sz w:val="20"/>
                <w:szCs w:val="20"/>
              </w:rPr>
              <w:t>перлоновые</w:t>
            </w:r>
            <w:proofErr w:type="spellEnd"/>
            <w:r w:rsidRPr="00011575">
              <w:rPr>
                <w:sz w:val="20"/>
                <w:szCs w:val="20"/>
              </w:rPr>
              <w:t xml:space="preserve">. Приемная гильза индивидуальная 1 шт. (пробные гильзы 2 шт.) Материал индивидуальной постоянной гильзы литьевой пластик на основе акриловых смол. Крепление протеза вакуумное с использованием бандажа. Регулировочно-соединительное устройство соответствует весу пациента. Стопа со средней степенью энергосбережения. Коленный шарнир шестизвенный, гидравлический с </w:t>
            </w:r>
            <w:r w:rsidRPr="00011575">
              <w:rPr>
                <w:sz w:val="20"/>
                <w:szCs w:val="20"/>
                <w:lang w:val="en-US"/>
              </w:rPr>
              <w:t>MRS</w:t>
            </w:r>
            <w:r w:rsidRPr="00011575">
              <w:rPr>
                <w:sz w:val="20"/>
                <w:szCs w:val="20"/>
              </w:rPr>
              <w:t xml:space="preserve"> </w:t>
            </w:r>
            <w:r w:rsidRPr="004035E4">
              <w:rPr>
                <w:sz w:val="20"/>
                <w:szCs w:val="20"/>
              </w:rPr>
              <w:t>системой (или эквивалент).</w:t>
            </w:r>
          </w:p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4035E4">
              <w:rPr>
                <w:color w:val="000000"/>
                <w:sz w:val="20"/>
                <w:szCs w:val="20"/>
              </w:rPr>
              <w:t>Срок службы не менее 2-х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1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3350B2">
            <w:pPr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8-07-09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4035E4" w:rsidRDefault="00C37630" w:rsidP="00823ABC">
            <w:pPr>
              <w:rPr>
                <w:sz w:val="20"/>
                <w:szCs w:val="20"/>
              </w:rPr>
            </w:pPr>
            <w:r w:rsidRPr="00011575">
              <w:rPr>
                <w:color w:val="000000"/>
                <w:sz w:val="20"/>
                <w:szCs w:val="20"/>
              </w:rPr>
              <w:t>32.50.22.121/03.29.08.07.09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 xml:space="preserve">Протез голени с силиконовым чехлом (2 шт.)  модульный. Формообразующая часть косметической облицовки модульная мягкая полиуретановая, листовой поролон или полужесткая эластичная. Косметическое покрытие облицовки чулки ортопедические </w:t>
            </w:r>
            <w:proofErr w:type="spellStart"/>
            <w:r w:rsidRPr="00011575">
              <w:rPr>
                <w:sz w:val="20"/>
                <w:szCs w:val="20"/>
              </w:rPr>
              <w:t>перлоновые</w:t>
            </w:r>
            <w:proofErr w:type="spellEnd"/>
            <w:r w:rsidRPr="00011575">
              <w:rPr>
                <w:sz w:val="20"/>
                <w:szCs w:val="20"/>
              </w:rPr>
              <w:t xml:space="preserve"> или </w:t>
            </w:r>
            <w:proofErr w:type="spellStart"/>
            <w:r w:rsidRPr="00011575">
              <w:rPr>
                <w:sz w:val="20"/>
                <w:szCs w:val="20"/>
              </w:rPr>
              <w:t>силоновые</w:t>
            </w:r>
            <w:proofErr w:type="spellEnd"/>
            <w:r w:rsidRPr="00011575">
              <w:rPr>
                <w:sz w:val="20"/>
                <w:szCs w:val="20"/>
              </w:rPr>
              <w:t xml:space="preserve">. Приемная гильза индивидуальная 1 шт. (пробная гильза 1 шт.). Материал индивидуальной постоянной гильзы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011575">
              <w:rPr>
                <w:sz w:val="20"/>
                <w:szCs w:val="20"/>
              </w:rPr>
              <w:t>гелевые</w:t>
            </w:r>
            <w:proofErr w:type="spellEnd"/>
            <w:r w:rsidRPr="00011575">
              <w:rPr>
                <w:sz w:val="20"/>
                <w:szCs w:val="20"/>
              </w:rPr>
              <w:t xml:space="preserve">, крепления с использованием замка и силиконового наколенника (1шт.). Регулировочно-соединительные устройства соответствуют весу пациента. Стопа со средней степенью энергосбережения. Тип протеза: любой </w:t>
            </w:r>
            <w:r w:rsidRPr="00011575">
              <w:rPr>
                <w:sz w:val="20"/>
                <w:szCs w:val="20"/>
              </w:rPr>
              <w:lastRenderedPageBreak/>
              <w:t>по назнач</w:t>
            </w:r>
            <w:r w:rsidRPr="004035E4">
              <w:rPr>
                <w:sz w:val="20"/>
                <w:szCs w:val="20"/>
              </w:rPr>
              <w:t>ению.</w:t>
            </w:r>
            <w:r w:rsidRPr="004035E4">
              <w:rPr>
                <w:color w:val="000000"/>
                <w:sz w:val="20"/>
                <w:szCs w:val="20"/>
              </w:rPr>
              <w:t xml:space="preserve"> Срок службы не менее 2-х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lastRenderedPageBreak/>
              <w:t>1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3350B2">
            <w:pPr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8-07-09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color w:val="000000"/>
                <w:sz w:val="20"/>
                <w:szCs w:val="20"/>
              </w:rPr>
              <w:t>32.50.22.121/03.29.08.07.09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 xml:space="preserve">Протез голени модульный без силиконового чехла. Формообразующая часть косметической оболочки модульная мягкая полиуретановая или листовой поролон. Косметическое покрытие облицовки чулки ортопедические </w:t>
            </w:r>
            <w:proofErr w:type="spellStart"/>
            <w:r w:rsidRPr="00011575">
              <w:rPr>
                <w:sz w:val="20"/>
                <w:szCs w:val="20"/>
              </w:rPr>
              <w:t>перлоновые</w:t>
            </w:r>
            <w:proofErr w:type="spellEnd"/>
            <w:r w:rsidRPr="00011575">
              <w:rPr>
                <w:sz w:val="20"/>
                <w:szCs w:val="20"/>
              </w:rPr>
              <w:t xml:space="preserve"> или </w:t>
            </w:r>
            <w:proofErr w:type="spellStart"/>
            <w:r w:rsidRPr="00011575">
              <w:rPr>
                <w:sz w:val="20"/>
                <w:szCs w:val="20"/>
              </w:rPr>
              <w:t>силоновые</w:t>
            </w:r>
            <w:proofErr w:type="spellEnd"/>
            <w:r w:rsidRPr="00011575">
              <w:rPr>
                <w:sz w:val="20"/>
                <w:szCs w:val="20"/>
              </w:rPr>
              <w:t xml:space="preserve">. Приемная гильза индивидуальная 1 шт. (пробная гильза 1 шт.). Материал индивидуальной постоянной гильзы литьевой слоистый пластик на основе акриловых смол, термопластичный пластик. Допускается применение вкладной гильзы из вспененных материалов или без нее. Крепление протеза с использованием кожаных полуфабрикатов (без шин) или с использованием наколенника или за счет приемной гильзы. Регулировочно-соединительные устройства соответствуют весу пациента. Стопа с голеностопным шарниром, подвижным в сагиттальной плоскости с двухступенчатой регулируемой пациентом высотой плоскости или стопа </w:t>
            </w:r>
            <w:proofErr w:type="spellStart"/>
            <w:r w:rsidRPr="00011575">
              <w:rPr>
                <w:sz w:val="20"/>
                <w:szCs w:val="20"/>
              </w:rPr>
              <w:t>бесшарнирная</w:t>
            </w:r>
            <w:proofErr w:type="spellEnd"/>
            <w:r w:rsidRPr="00011575">
              <w:rPr>
                <w:sz w:val="20"/>
                <w:szCs w:val="20"/>
              </w:rPr>
              <w:t xml:space="preserve">, полиуретановая, </w:t>
            </w:r>
            <w:proofErr w:type="spellStart"/>
            <w:r w:rsidRPr="00011575">
              <w:rPr>
                <w:sz w:val="20"/>
                <w:szCs w:val="20"/>
              </w:rPr>
              <w:t>многолитная</w:t>
            </w:r>
            <w:proofErr w:type="spellEnd"/>
            <w:r w:rsidRPr="00011575">
              <w:rPr>
                <w:sz w:val="20"/>
                <w:szCs w:val="20"/>
              </w:rPr>
              <w:t xml:space="preserve"> или стопа с голеностопным шарниром, подвижным в сагиттальной плоскости, со сменным пяточным амортизатором. Тип протеза: любой по </w:t>
            </w:r>
            <w:r w:rsidRPr="004035E4">
              <w:rPr>
                <w:sz w:val="20"/>
                <w:szCs w:val="20"/>
              </w:rPr>
              <w:t>назначению.</w:t>
            </w:r>
            <w:r w:rsidRPr="004035E4">
              <w:rPr>
                <w:color w:val="000000"/>
                <w:sz w:val="20"/>
                <w:szCs w:val="20"/>
              </w:rPr>
              <w:t xml:space="preserve"> Срок службы не менее 2-х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1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C37630" w:rsidRPr="00011575" w:rsidRDefault="00C37630" w:rsidP="00823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8-07-09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color w:val="000000"/>
                <w:sz w:val="20"/>
                <w:szCs w:val="20"/>
              </w:rPr>
              <w:t>32.50.22.121/03.29.08.07.09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4035E4">
              <w:rPr>
                <w:sz w:val="20"/>
                <w:szCs w:val="20"/>
              </w:rPr>
              <w:t xml:space="preserve">Протез голени модульный. Формообразующая часть косметической оболочки модульная мягкая полиуретановая или листовой поролон. Косметическое покрытие облицовки чулки ортопедические </w:t>
            </w:r>
            <w:proofErr w:type="spellStart"/>
            <w:r w:rsidRPr="004035E4">
              <w:rPr>
                <w:sz w:val="20"/>
                <w:szCs w:val="20"/>
              </w:rPr>
              <w:t>перлоновые</w:t>
            </w:r>
            <w:proofErr w:type="spellEnd"/>
            <w:r w:rsidRPr="004035E4">
              <w:rPr>
                <w:sz w:val="20"/>
                <w:szCs w:val="20"/>
              </w:rPr>
              <w:t xml:space="preserve"> или силиконовые. Приемная гильза индивидуальная 1 шт. (пробная гильза 1 шт.) Материал индивидуальной постоянной гильзы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нее. Крепление протеза с использованием кожаных полуфабрикатов и наколенником. Регулировочно-соединительные устройства соответствуют весу пациента. Стопа с повышенной упругостью носочной части или стопа подвижная во всех вертикальных плоскостях, или стопа с </w:t>
            </w:r>
            <w:proofErr w:type="spellStart"/>
            <w:r w:rsidRPr="004035E4">
              <w:rPr>
                <w:sz w:val="20"/>
                <w:szCs w:val="20"/>
              </w:rPr>
              <w:t>многоосевым</w:t>
            </w:r>
            <w:proofErr w:type="spellEnd"/>
            <w:r w:rsidRPr="004035E4">
              <w:rPr>
                <w:sz w:val="20"/>
                <w:szCs w:val="20"/>
              </w:rPr>
              <w:t xml:space="preserve"> шарниром, или стопа со средней степенью энергосбережения. Тип протеза: любой, по назначению.</w:t>
            </w:r>
            <w:r w:rsidRPr="004035E4">
              <w:rPr>
                <w:color w:val="000000"/>
                <w:sz w:val="20"/>
                <w:szCs w:val="20"/>
              </w:rPr>
              <w:t xml:space="preserve"> Срок службы не менее 2-х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1</w:t>
            </w:r>
          </w:p>
        </w:tc>
      </w:tr>
      <w:tr w:rsidR="00C37630" w:rsidRPr="00011575" w:rsidTr="00823ABC">
        <w:trPr>
          <w:trHeight w:val="21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center"/>
              <w:rPr>
                <w:sz w:val="20"/>
                <w:szCs w:val="20"/>
                <w:lang w:eastAsia="ar-SA"/>
              </w:rPr>
            </w:pPr>
            <w:r w:rsidRPr="00011575">
              <w:rPr>
                <w:sz w:val="20"/>
                <w:szCs w:val="20"/>
                <w:lang w:eastAsia="ar-SA"/>
              </w:rPr>
              <w:t xml:space="preserve">Протез бедра модульный, в том числе при </w:t>
            </w:r>
            <w:r w:rsidR="003350B2">
              <w:rPr>
                <w:sz w:val="20"/>
                <w:szCs w:val="20"/>
                <w:lang w:eastAsia="ar-SA"/>
              </w:rPr>
              <w:lastRenderedPageBreak/>
              <w:t xml:space="preserve">врожденном </w:t>
            </w:r>
            <w:r w:rsidRPr="00011575">
              <w:rPr>
                <w:sz w:val="20"/>
                <w:szCs w:val="20"/>
                <w:lang w:eastAsia="ar-SA"/>
              </w:rPr>
              <w:t>недоразвитии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rPr>
                <w:sz w:val="20"/>
                <w:szCs w:val="20"/>
                <w:lang w:eastAsia="ar-SA"/>
              </w:rPr>
            </w:pPr>
            <w:r w:rsidRPr="00011575">
              <w:rPr>
                <w:sz w:val="20"/>
                <w:szCs w:val="20"/>
                <w:lang w:eastAsia="ar-SA"/>
              </w:rPr>
              <w:lastRenderedPageBreak/>
              <w:t>8-07-10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t>32.50.22.121/03.29.08.07.10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011575">
              <w:rPr>
                <w:sz w:val="20"/>
                <w:szCs w:val="20"/>
                <w:lang w:eastAsia="ar-SA"/>
              </w:rPr>
              <w:t xml:space="preserve">Протез бедра модульный. Формообразующая часть косметической облицовки модульная мягкая полиуретановая. Косметическое </w:t>
            </w:r>
            <w:r w:rsidRPr="00011575">
              <w:rPr>
                <w:sz w:val="20"/>
                <w:szCs w:val="20"/>
                <w:lang w:eastAsia="ar-SA"/>
              </w:rPr>
              <w:lastRenderedPageBreak/>
              <w:t xml:space="preserve">покрытие облицовки чулки ортопедические </w:t>
            </w:r>
            <w:proofErr w:type="spellStart"/>
            <w:r w:rsidRPr="00011575">
              <w:rPr>
                <w:sz w:val="20"/>
                <w:szCs w:val="20"/>
                <w:lang w:eastAsia="ar-SA"/>
              </w:rPr>
              <w:t>перлоновые</w:t>
            </w:r>
            <w:proofErr w:type="spellEnd"/>
            <w:r w:rsidRPr="00011575">
              <w:rPr>
                <w:sz w:val="20"/>
                <w:szCs w:val="20"/>
                <w:lang w:eastAsia="ar-SA"/>
              </w:rPr>
              <w:t xml:space="preserve">. Приемная гильза индивидуальная 1 шт. (пробная гильза 1 шт.) Пробная (примерочная) гильза изготовлена из листового жесткого ударопрочного антибактериального материала толщиной </w:t>
            </w:r>
            <w:r>
              <w:rPr>
                <w:sz w:val="20"/>
                <w:szCs w:val="20"/>
                <w:lang w:eastAsia="ar-SA"/>
              </w:rPr>
              <w:t xml:space="preserve">не менее </w:t>
            </w:r>
            <w:r w:rsidRPr="00011575">
              <w:rPr>
                <w:sz w:val="20"/>
                <w:szCs w:val="20"/>
                <w:lang w:eastAsia="ar-SA"/>
              </w:rPr>
              <w:t xml:space="preserve">20 мм-1 шт.) Материал индивидуальной постоянной гильзы литьевой пластик на основе акриловых смол, листовой термопластичный пластик. Допускается применение вкладной гильзы из вспененных материалов или без нее. Крепление протеза вакуумное с использованием бандажа. Регулировочно - соединительное устройство будет соответствовать весу пациента. Стопа энергосберегающая в комплекте с разделительным носком и косметической оболочкой, непрерывная длина </w:t>
            </w:r>
            <w:proofErr w:type="spellStart"/>
            <w:r w:rsidRPr="00011575">
              <w:rPr>
                <w:sz w:val="20"/>
                <w:szCs w:val="20"/>
                <w:lang w:eastAsia="ar-SA"/>
              </w:rPr>
              <w:t>углепластикового</w:t>
            </w:r>
            <w:proofErr w:type="spellEnd"/>
            <w:r w:rsidRPr="00011575">
              <w:rPr>
                <w:sz w:val="20"/>
                <w:szCs w:val="20"/>
                <w:lang w:eastAsia="ar-SA"/>
              </w:rPr>
              <w:t xml:space="preserve"> волокна и отсутствие боковых соединений, карбоновая подошва будет обеспечивать мягкий перекат и плавную походку. Коленный шарнир полицентрический гидравлический </w:t>
            </w:r>
            <w:proofErr w:type="spellStart"/>
            <w:r w:rsidRPr="00011575">
              <w:rPr>
                <w:sz w:val="20"/>
                <w:szCs w:val="20"/>
                <w:lang w:eastAsia="ar-SA"/>
              </w:rPr>
              <w:t>шестизвездный</w:t>
            </w:r>
            <w:proofErr w:type="spellEnd"/>
            <w:r w:rsidRPr="00011575">
              <w:rPr>
                <w:sz w:val="20"/>
                <w:szCs w:val="20"/>
                <w:lang w:eastAsia="ar-SA"/>
              </w:rPr>
              <w:t xml:space="preserve">, с замком, с контролем фазы переноса и </w:t>
            </w:r>
            <w:r w:rsidRPr="004035E4">
              <w:rPr>
                <w:sz w:val="20"/>
                <w:szCs w:val="20"/>
                <w:lang w:eastAsia="ar-SA"/>
              </w:rPr>
              <w:t>опоры.</w:t>
            </w:r>
            <w:r w:rsidRPr="004035E4">
              <w:rPr>
                <w:color w:val="000000"/>
                <w:sz w:val="20"/>
                <w:szCs w:val="20"/>
              </w:rPr>
              <w:t xml:space="preserve"> Срок службы не менее 2-х лет.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30" w:rsidRPr="00011575" w:rsidRDefault="00C37630" w:rsidP="00823ABC">
            <w:pPr>
              <w:jc w:val="both"/>
              <w:rPr>
                <w:sz w:val="20"/>
                <w:szCs w:val="20"/>
              </w:rPr>
            </w:pPr>
            <w:r w:rsidRPr="00011575">
              <w:rPr>
                <w:sz w:val="20"/>
                <w:szCs w:val="20"/>
              </w:rPr>
              <w:lastRenderedPageBreak/>
              <w:t>1</w:t>
            </w:r>
          </w:p>
        </w:tc>
      </w:tr>
    </w:tbl>
    <w:p w:rsidR="00A26BE9" w:rsidRDefault="00A26BE9" w:rsidP="00AB07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7630" w:rsidRPr="00C37630" w:rsidRDefault="00C37630" w:rsidP="00A87AD5">
      <w:pPr>
        <w:pStyle w:val="a6"/>
        <w:ind w:firstLine="0"/>
        <w:rPr>
          <w:sz w:val="24"/>
          <w:szCs w:val="24"/>
        </w:rPr>
      </w:pPr>
      <w:r w:rsidRPr="00C37630">
        <w:rPr>
          <w:sz w:val="24"/>
          <w:szCs w:val="24"/>
        </w:rPr>
        <w:t>* Номер вида технического средства реабилитации (изделия) и его наименования объекта закупки указан в соответствии с Приказом Министерства труда и социальной защиты Российской Федерации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№ 2347-р».</w:t>
      </w:r>
    </w:p>
    <w:p w:rsidR="00A87AD5" w:rsidRDefault="00A87AD5" w:rsidP="00C37630">
      <w:pPr>
        <w:pStyle w:val="a6"/>
        <w:ind w:firstLine="709"/>
        <w:jc w:val="center"/>
        <w:rPr>
          <w:sz w:val="24"/>
          <w:szCs w:val="24"/>
        </w:rPr>
      </w:pPr>
    </w:p>
    <w:p w:rsidR="00C37630" w:rsidRPr="00C37630" w:rsidRDefault="00C37630" w:rsidP="00C37630">
      <w:pPr>
        <w:pStyle w:val="a6"/>
        <w:ind w:firstLine="709"/>
        <w:jc w:val="center"/>
        <w:rPr>
          <w:sz w:val="24"/>
          <w:szCs w:val="24"/>
        </w:rPr>
      </w:pPr>
      <w:r w:rsidRPr="00C37630">
        <w:rPr>
          <w:sz w:val="24"/>
          <w:szCs w:val="24"/>
        </w:rPr>
        <w:t>Требования к качеству работ</w:t>
      </w:r>
    </w:p>
    <w:p w:rsidR="00C37630" w:rsidRPr="00C37630" w:rsidRDefault="00C37630" w:rsidP="00C3763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37630">
        <w:rPr>
          <w:rFonts w:ascii="Times New Roman" w:hAnsi="Times New Roman"/>
          <w:sz w:val="24"/>
          <w:szCs w:val="24"/>
        </w:rPr>
        <w:t>Работы по изготовлению протезов нижних конечностей направлены на восстановление опорно-двигательных функций и устранение косметических дефектов.</w:t>
      </w:r>
    </w:p>
    <w:p w:rsidR="00C37630" w:rsidRPr="00C37630" w:rsidRDefault="00C37630" w:rsidP="00C3763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37630">
        <w:rPr>
          <w:rFonts w:ascii="Times New Roman" w:hAnsi="Times New Roman"/>
          <w:sz w:val="24"/>
          <w:szCs w:val="24"/>
        </w:rPr>
        <w:t xml:space="preserve">Приемная гильза протеза конечности изготовлена по индивидуальным параметрам Получателя и предназначается для размещения в нем культи или пораженной конечности, обеспечивая взаимодействие человека с протезом конечности. Материалы приемных гильз, контактирующих с телом человека, разрешены к применению </w:t>
      </w:r>
      <w:proofErr w:type="spellStart"/>
      <w:r w:rsidRPr="00C37630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C37630">
        <w:rPr>
          <w:rFonts w:ascii="Times New Roman" w:hAnsi="Times New Roman"/>
          <w:sz w:val="24"/>
          <w:szCs w:val="24"/>
        </w:rPr>
        <w:t xml:space="preserve"> России.</w:t>
      </w:r>
    </w:p>
    <w:p w:rsidR="00C37630" w:rsidRPr="00C37630" w:rsidRDefault="00C37630" w:rsidP="00C3763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37630">
        <w:rPr>
          <w:rFonts w:ascii="Times New Roman" w:hAnsi="Times New Roman"/>
          <w:sz w:val="24"/>
          <w:szCs w:val="24"/>
        </w:rPr>
        <w:t xml:space="preserve">Приемные гильзы и крепления протеза не </w:t>
      </w:r>
      <w:r w:rsidR="003D39F3">
        <w:rPr>
          <w:rFonts w:ascii="Times New Roman" w:hAnsi="Times New Roman"/>
          <w:sz w:val="24"/>
          <w:szCs w:val="24"/>
        </w:rPr>
        <w:t>вызывают</w:t>
      </w:r>
      <w:r w:rsidRPr="00C37630">
        <w:rPr>
          <w:rFonts w:ascii="Times New Roman" w:hAnsi="Times New Roman"/>
          <w:sz w:val="24"/>
          <w:szCs w:val="24"/>
        </w:rPr>
        <w:t xml:space="preserve">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C37630" w:rsidRPr="00C37630" w:rsidRDefault="00C37630" w:rsidP="00C3763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37630">
        <w:rPr>
          <w:rFonts w:ascii="Times New Roman" w:hAnsi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C37630" w:rsidRPr="00C37630" w:rsidRDefault="00C37630" w:rsidP="00415436">
      <w:pPr>
        <w:pStyle w:val="a8"/>
        <w:spacing w:before="0" w:after="0" w:line="180" w:lineRule="atLeast"/>
        <w:jc w:val="both"/>
        <w:rPr>
          <w:szCs w:val="24"/>
        </w:rPr>
      </w:pPr>
      <w:r w:rsidRPr="00C37630">
        <w:rPr>
          <w:szCs w:val="24"/>
        </w:rPr>
        <w:t xml:space="preserve">Протезы </w:t>
      </w:r>
      <w:r w:rsidR="003D39F3">
        <w:rPr>
          <w:szCs w:val="24"/>
        </w:rPr>
        <w:t>соответствуют</w:t>
      </w:r>
      <w:r w:rsidRPr="00C37630">
        <w:rPr>
          <w:szCs w:val="24"/>
        </w:rPr>
        <w:t xml:space="preserve">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Р 53869-2021 «Протезы нижних конечностей. Технические требования», Национального стандарта Российской Федерации ГОСТ Р ИСО 22523-2007 «Протезы конечностей и </w:t>
      </w:r>
      <w:proofErr w:type="spellStart"/>
      <w:r w:rsidRPr="00C37630">
        <w:rPr>
          <w:szCs w:val="24"/>
        </w:rPr>
        <w:t>ортезы</w:t>
      </w:r>
      <w:proofErr w:type="spellEnd"/>
      <w:r w:rsidRPr="00C37630">
        <w:rPr>
          <w:szCs w:val="24"/>
        </w:rPr>
        <w:t xml:space="preserve"> наружные. Требования и методы испытаний», Межгосударственного стандарта ГОСТ ISO 10993-1-2021 «Изделия медицинские. Оценка биологического действия медицинских изделий. Часть 1. Оценка </w:t>
      </w:r>
      <w:proofErr w:type="gramStart"/>
      <w:r w:rsidRPr="00C37630">
        <w:rPr>
          <w:szCs w:val="24"/>
        </w:rPr>
        <w:t>исследования  в</w:t>
      </w:r>
      <w:proofErr w:type="gramEnd"/>
      <w:r w:rsidRPr="00C37630">
        <w:rPr>
          <w:szCs w:val="24"/>
        </w:rPr>
        <w:t xml:space="preserve"> процессе менеджмента риска», Межгосударственного стандарта ГОСТ ISO 10993-5-2011 «Изделия </w:t>
      </w:r>
      <w:r w:rsidRPr="00C37630">
        <w:rPr>
          <w:szCs w:val="24"/>
        </w:rPr>
        <w:lastRenderedPageBreak/>
        <w:t xml:space="preserve">медицинские. Оценка биологического действия медицинских изделий. Часть 5. Исследования на </w:t>
      </w:r>
      <w:proofErr w:type="spellStart"/>
      <w:r w:rsidRPr="00C37630">
        <w:rPr>
          <w:szCs w:val="24"/>
        </w:rPr>
        <w:t>цитотоксичность</w:t>
      </w:r>
      <w:proofErr w:type="spellEnd"/>
      <w:r w:rsidRPr="00C37630">
        <w:rPr>
          <w:szCs w:val="24"/>
        </w:rPr>
        <w:t xml:space="preserve">: </w:t>
      </w:r>
      <w:proofErr w:type="spellStart"/>
      <w:r w:rsidRPr="00C37630">
        <w:rPr>
          <w:szCs w:val="24"/>
        </w:rPr>
        <w:t>in</w:t>
      </w:r>
      <w:proofErr w:type="spellEnd"/>
      <w:r w:rsidRPr="00C37630">
        <w:rPr>
          <w:szCs w:val="24"/>
        </w:rPr>
        <w:t xml:space="preserve"> </w:t>
      </w:r>
      <w:proofErr w:type="spellStart"/>
      <w:r w:rsidRPr="00C37630">
        <w:rPr>
          <w:szCs w:val="24"/>
        </w:rPr>
        <w:t>vitro</w:t>
      </w:r>
      <w:proofErr w:type="spellEnd"/>
      <w:r w:rsidRPr="00C37630">
        <w:rPr>
          <w:szCs w:val="24"/>
        </w:rPr>
        <w:t>», Межгосударственного стандарта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 10. Исследования раздражающего и сенсибилизирующего действия»</w:t>
      </w:r>
      <w:r w:rsidR="00415436">
        <w:rPr>
          <w:szCs w:val="24"/>
        </w:rPr>
        <w:t>; ГОСТ Р 59542-2021 от 01.12.2021 «</w:t>
      </w:r>
      <w:r w:rsidR="00415436" w:rsidRPr="00415436">
        <w:rPr>
          <w:szCs w:val="24"/>
        </w:rPr>
        <w:t>Национальный стандарт Российской Федерации. Реабилитационные мероприятия. Услуги по обучению пользованию протезом нижней конечности"</w:t>
      </w:r>
      <w:r w:rsidRPr="00C37630">
        <w:rPr>
          <w:szCs w:val="24"/>
        </w:rPr>
        <w:t>.</w:t>
      </w:r>
    </w:p>
    <w:p w:rsidR="00C37630" w:rsidRPr="00C37630" w:rsidRDefault="00C37630" w:rsidP="00C37630">
      <w:pPr>
        <w:ind w:firstLine="709"/>
        <w:jc w:val="both"/>
        <w:rPr>
          <w:sz w:val="24"/>
          <w:szCs w:val="24"/>
        </w:rPr>
      </w:pPr>
      <w:r w:rsidRPr="00C37630">
        <w:rPr>
          <w:sz w:val="24"/>
          <w:szCs w:val="24"/>
        </w:rPr>
        <w:t xml:space="preserve">Участник закупки </w:t>
      </w:r>
      <w:r w:rsidR="00AA6DA1">
        <w:rPr>
          <w:sz w:val="24"/>
          <w:szCs w:val="24"/>
        </w:rPr>
        <w:t>имеет</w:t>
      </w:r>
      <w:bookmarkStart w:id="0" w:name="_GoBack"/>
      <w:bookmarkEnd w:id="0"/>
      <w:r w:rsidRPr="00C37630">
        <w:rPr>
          <w:sz w:val="24"/>
          <w:szCs w:val="24"/>
        </w:rPr>
        <w:t xml:space="preserve"> </w:t>
      </w:r>
      <w:r w:rsidRPr="00C37630">
        <w:rPr>
          <w:sz w:val="24"/>
          <w:szCs w:val="24"/>
          <w:shd w:val="clear" w:color="auto" w:fill="FFFFFF"/>
        </w:rPr>
        <w:t xml:space="preserve">документ, содержащий сведения, обеспечивающие возможность подтверждения наличия (в том числе ее статуса: действующая, не приостановлена, не приостановлена частично, не прекращена) </w:t>
      </w:r>
      <w:r w:rsidRPr="00C37630">
        <w:rPr>
          <w:sz w:val="24"/>
          <w:szCs w:val="24"/>
        </w:rPr>
        <w:t>на выполнение работ  при оказании первичной специализированной медико-санитарной помощи в амбулаторных условиях по травматологии и ортопедии по месту осуществления лицензируемого вида деятельности на территории РФ, согласно Перечня работ, составляющих медицинскую деятельность, выданной согласно нормативным документам:</w:t>
      </w:r>
    </w:p>
    <w:p w:rsidR="00C37630" w:rsidRPr="00C37630" w:rsidRDefault="00C37630" w:rsidP="00C37630">
      <w:pPr>
        <w:ind w:firstLine="709"/>
        <w:jc w:val="both"/>
        <w:rPr>
          <w:sz w:val="24"/>
          <w:szCs w:val="24"/>
        </w:rPr>
      </w:pPr>
      <w:r w:rsidRPr="00C37630">
        <w:rPr>
          <w:sz w:val="24"/>
          <w:szCs w:val="24"/>
        </w:rPr>
        <w:t>Федеральный Закон РФ от 04.05.2011 № 99-ФЗ «О лицензировании отдельных видов деятельности»,</w:t>
      </w:r>
    </w:p>
    <w:p w:rsidR="00C37630" w:rsidRPr="00C37630" w:rsidRDefault="00C37630" w:rsidP="00C37630">
      <w:pPr>
        <w:ind w:firstLine="709"/>
        <w:jc w:val="both"/>
        <w:rPr>
          <w:sz w:val="24"/>
          <w:szCs w:val="24"/>
        </w:rPr>
      </w:pPr>
      <w:r w:rsidRPr="00C37630">
        <w:rPr>
          <w:sz w:val="24"/>
          <w:szCs w:val="24"/>
        </w:rPr>
        <w:t>Постановление Правительства РФ от 21.11.2011 № 957 «Об организации лицензирования отдельных видов деятельности»,</w:t>
      </w:r>
    </w:p>
    <w:p w:rsidR="00C37630" w:rsidRPr="00C37630" w:rsidRDefault="00C37630" w:rsidP="00C37630">
      <w:pPr>
        <w:pStyle w:val="a8"/>
        <w:spacing w:before="0" w:after="0"/>
        <w:ind w:firstLine="709"/>
        <w:jc w:val="both"/>
        <w:rPr>
          <w:szCs w:val="24"/>
        </w:rPr>
      </w:pPr>
      <w:r w:rsidRPr="00C37630">
        <w:rPr>
          <w:szCs w:val="24"/>
        </w:rPr>
        <w:t>Постановление Правительства РФ от 01.06.2021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37630">
        <w:rPr>
          <w:szCs w:val="24"/>
        </w:rPr>
        <w:t>Сколково</w:t>
      </w:r>
      <w:proofErr w:type="spellEnd"/>
      <w:r w:rsidRPr="00C37630">
        <w:rPr>
          <w:szCs w:val="24"/>
        </w:rPr>
        <w:t>") и признании утратившими силу некоторых актов Правительства Российской Федерации" (вместе с "Положением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37630">
        <w:rPr>
          <w:szCs w:val="24"/>
        </w:rPr>
        <w:t>Сколково</w:t>
      </w:r>
      <w:proofErr w:type="spellEnd"/>
      <w:r w:rsidRPr="00C37630">
        <w:rPr>
          <w:szCs w:val="24"/>
        </w:rPr>
        <w:t>")")" или реквизиты лицензии, позволяющие найти её в Едином реестре лицензий (регистрационный номер, другие критерии поиска).</w:t>
      </w:r>
    </w:p>
    <w:p w:rsidR="00C37630" w:rsidRPr="00C37630" w:rsidRDefault="00C37630" w:rsidP="00C37630">
      <w:pPr>
        <w:pStyle w:val="a6"/>
        <w:ind w:firstLine="709"/>
        <w:rPr>
          <w:sz w:val="24"/>
          <w:szCs w:val="24"/>
        </w:rPr>
      </w:pPr>
    </w:p>
    <w:p w:rsidR="00C37630" w:rsidRPr="00C37630" w:rsidRDefault="00C37630" w:rsidP="00C37630">
      <w:pPr>
        <w:pStyle w:val="a6"/>
        <w:ind w:firstLine="709"/>
        <w:jc w:val="center"/>
        <w:rPr>
          <w:sz w:val="24"/>
          <w:szCs w:val="24"/>
        </w:rPr>
      </w:pPr>
      <w:r w:rsidRPr="00C37630">
        <w:rPr>
          <w:sz w:val="24"/>
          <w:szCs w:val="24"/>
        </w:rPr>
        <w:t>Требования к маркировке, упаковке изделий</w:t>
      </w:r>
    </w:p>
    <w:p w:rsidR="00C37630" w:rsidRPr="00C37630" w:rsidRDefault="00455471" w:rsidP="00C37630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Маркировка протеза соответствует</w:t>
      </w:r>
      <w:r w:rsidR="00C37630" w:rsidRPr="00C37630">
        <w:rPr>
          <w:sz w:val="24"/>
          <w:szCs w:val="24"/>
        </w:rPr>
        <w:t xml:space="preserve"> требованиям Национального стандарта Российской Федерации ГОСТ Р ИСО 22523-2007 «Протезы конечностей и </w:t>
      </w:r>
      <w:proofErr w:type="spellStart"/>
      <w:r w:rsidR="00C37630" w:rsidRPr="00C37630">
        <w:rPr>
          <w:sz w:val="24"/>
          <w:szCs w:val="24"/>
        </w:rPr>
        <w:t>ортезы</w:t>
      </w:r>
      <w:proofErr w:type="spellEnd"/>
      <w:r w:rsidR="00C37630" w:rsidRPr="00C37630">
        <w:rPr>
          <w:sz w:val="24"/>
          <w:szCs w:val="24"/>
        </w:rPr>
        <w:t xml:space="preserve"> наружные. Требования и методы испытаний», подраздел 13.2, с дополнениями, указанными в ТУ на протез конкретного типа.</w:t>
      </w:r>
    </w:p>
    <w:p w:rsidR="00C37630" w:rsidRPr="00C37630" w:rsidRDefault="00C37630" w:rsidP="00C37630">
      <w:pPr>
        <w:pStyle w:val="a6"/>
        <w:ind w:firstLine="709"/>
        <w:rPr>
          <w:sz w:val="24"/>
          <w:szCs w:val="24"/>
        </w:rPr>
      </w:pPr>
    </w:p>
    <w:p w:rsidR="00C37630" w:rsidRPr="00C37630" w:rsidRDefault="00C37630" w:rsidP="00C37630">
      <w:pPr>
        <w:ind w:firstLine="709"/>
        <w:jc w:val="both"/>
        <w:rPr>
          <w:sz w:val="24"/>
          <w:szCs w:val="24"/>
        </w:rPr>
      </w:pPr>
    </w:p>
    <w:p w:rsidR="00C37630" w:rsidRPr="00C37630" w:rsidRDefault="00C37630" w:rsidP="00C37630">
      <w:pPr>
        <w:pStyle w:val="a6"/>
        <w:ind w:firstLine="709"/>
        <w:jc w:val="center"/>
        <w:rPr>
          <w:sz w:val="24"/>
          <w:szCs w:val="24"/>
        </w:rPr>
      </w:pPr>
      <w:r w:rsidRPr="00C37630">
        <w:rPr>
          <w:sz w:val="24"/>
          <w:szCs w:val="24"/>
        </w:rPr>
        <w:t>Требования к гарантийному сроку</w:t>
      </w:r>
    </w:p>
    <w:p w:rsidR="00C37630" w:rsidRPr="00C37630" w:rsidRDefault="00C37630" w:rsidP="00A87AD5">
      <w:pPr>
        <w:pStyle w:val="BodyTextIndent31"/>
        <w:widowControl w:val="0"/>
        <w:tabs>
          <w:tab w:val="clear" w:pos="0"/>
          <w:tab w:val="left" w:pos="708"/>
        </w:tabs>
        <w:suppressAutoHyphens w:val="0"/>
      </w:pPr>
      <w:r w:rsidRPr="00C37630">
        <w:t>Исполнитель гарантирует, что Изделие, выполненное в соответствии с условиями государственного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C37630" w:rsidRPr="00C37630" w:rsidRDefault="00C37630" w:rsidP="00A87AD5">
      <w:pPr>
        <w:pStyle w:val="BodyTextIndent31"/>
        <w:widowControl w:val="0"/>
        <w:tabs>
          <w:tab w:val="clear" w:pos="0"/>
          <w:tab w:val="left" w:pos="708"/>
        </w:tabs>
        <w:suppressAutoHyphens w:val="0"/>
      </w:pPr>
      <w:r w:rsidRPr="00C37630">
        <w:t xml:space="preserve">Срок гарантии исчисляется с даты подписания Акта приема-передачи изделия и составляет </w:t>
      </w:r>
      <w:r w:rsidR="00CD7DA0">
        <w:t>12 (двенадцать</w:t>
      </w:r>
      <w:r w:rsidRPr="00C37630">
        <w:t>) месяцев. В течение этого срока Исполнитель обязан производить замену или ремонт Изделия бесплатно.</w:t>
      </w:r>
    </w:p>
    <w:p w:rsidR="00C37630" w:rsidRPr="00C37630" w:rsidRDefault="00C37630" w:rsidP="00A87A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37630">
        <w:rPr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Получателя аппаратом, осуществляется в соответствии с Федеральным законом от 07.02.1992 г. № 2300-1 «О защите прав потребителей».</w:t>
      </w:r>
    </w:p>
    <w:sectPr w:rsidR="00C37630" w:rsidRPr="00C37630" w:rsidSect="00C11C3A">
      <w:headerReference w:type="default" r:id="rId8"/>
      <w:pgSz w:w="11906" w:h="16838"/>
      <w:pgMar w:top="567" w:right="851" w:bottom="51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C6" w:rsidRDefault="00A67EC6" w:rsidP="00F2300E">
      <w:r>
        <w:separator/>
      </w:r>
    </w:p>
  </w:endnote>
  <w:endnote w:type="continuationSeparator" w:id="0">
    <w:p w:rsidR="00A67EC6" w:rsidRDefault="00A67EC6" w:rsidP="00F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C6" w:rsidRDefault="00A67EC6" w:rsidP="00F2300E">
      <w:r>
        <w:separator/>
      </w:r>
    </w:p>
  </w:footnote>
  <w:footnote w:type="continuationSeparator" w:id="0">
    <w:p w:rsidR="00A67EC6" w:rsidRDefault="00A67EC6" w:rsidP="00F2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30" w:rsidRPr="00A26BE9" w:rsidRDefault="001052C2">
    <w:pPr>
      <w:pStyle w:val="ab"/>
      <w:jc w:val="center"/>
      <w:rPr>
        <w:sz w:val="24"/>
        <w:szCs w:val="24"/>
      </w:rPr>
    </w:pPr>
    <w:r w:rsidRPr="00A26BE9">
      <w:rPr>
        <w:sz w:val="24"/>
        <w:szCs w:val="24"/>
      </w:rPr>
      <w:fldChar w:fldCharType="begin"/>
    </w:r>
    <w:r w:rsidR="00213130" w:rsidRPr="00A26BE9">
      <w:rPr>
        <w:sz w:val="24"/>
        <w:szCs w:val="24"/>
      </w:rPr>
      <w:instrText>PAGE   \* MERGEFORMAT</w:instrText>
    </w:r>
    <w:r w:rsidRPr="00A26BE9">
      <w:rPr>
        <w:sz w:val="24"/>
        <w:szCs w:val="24"/>
      </w:rPr>
      <w:fldChar w:fldCharType="separate"/>
    </w:r>
    <w:r w:rsidR="00AA6DA1">
      <w:rPr>
        <w:noProof/>
        <w:sz w:val="24"/>
        <w:szCs w:val="24"/>
      </w:rPr>
      <w:t>6</w:t>
    </w:r>
    <w:r w:rsidRPr="00A26BE9">
      <w:rPr>
        <w:sz w:val="24"/>
        <w:szCs w:val="24"/>
      </w:rPr>
      <w:fldChar w:fldCharType="end"/>
    </w:r>
  </w:p>
  <w:p w:rsidR="00213130" w:rsidRDefault="002131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B3FF6"/>
    <w:multiLevelType w:val="hybridMultilevel"/>
    <w:tmpl w:val="DCBA6714"/>
    <w:lvl w:ilvl="0" w:tplc="D9042E34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5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47F07"/>
    <w:multiLevelType w:val="hybridMultilevel"/>
    <w:tmpl w:val="16D0A1EA"/>
    <w:lvl w:ilvl="0" w:tplc="25965786">
      <w:start w:val="1"/>
      <w:numFmt w:val="decimal"/>
      <w:pStyle w:val="1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85"/>
    <w:rsid w:val="000023FE"/>
    <w:rsid w:val="00002BCA"/>
    <w:rsid w:val="000034BB"/>
    <w:rsid w:val="00006D8F"/>
    <w:rsid w:val="00007A7E"/>
    <w:rsid w:val="00007A9E"/>
    <w:rsid w:val="00032E9F"/>
    <w:rsid w:val="00047CE7"/>
    <w:rsid w:val="0005126F"/>
    <w:rsid w:val="00053B6A"/>
    <w:rsid w:val="00070790"/>
    <w:rsid w:val="00077111"/>
    <w:rsid w:val="00084A5C"/>
    <w:rsid w:val="000A0CD0"/>
    <w:rsid w:val="000B450B"/>
    <w:rsid w:val="000E7269"/>
    <w:rsid w:val="000F68C4"/>
    <w:rsid w:val="001052C2"/>
    <w:rsid w:val="00105691"/>
    <w:rsid w:val="00175E26"/>
    <w:rsid w:val="00177C9A"/>
    <w:rsid w:val="001A68A4"/>
    <w:rsid w:val="001B245E"/>
    <w:rsid w:val="001E1591"/>
    <w:rsid w:val="001F0509"/>
    <w:rsid w:val="00202F95"/>
    <w:rsid w:val="00213130"/>
    <w:rsid w:val="002134F1"/>
    <w:rsid w:val="00216884"/>
    <w:rsid w:val="00222BC3"/>
    <w:rsid w:val="0023512E"/>
    <w:rsid w:val="00241241"/>
    <w:rsid w:val="00243F4E"/>
    <w:rsid w:val="002460F0"/>
    <w:rsid w:val="00246C7E"/>
    <w:rsid w:val="00251562"/>
    <w:rsid w:val="00253302"/>
    <w:rsid w:val="00253FF3"/>
    <w:rsid w:val="00257F84"/>
    <w:rsid w:val="002731A0"/>
    <w:rsid w:val="002A5B6E"/>
    <w:rsid w:val="002B5007"/>
    <w:rsid w:val="002B792F"/>
    <w:rsid w:val="002C4C29"/>
    <w:rsid w:val="002E6F6B"/>
    <w:rsid w:val="002F2EB8"/>
    <w:rsid w:val="002F5D6F"/>
    <w:rsid w:val="00302441"/>
    <w:rsid w:val="00326527"/>
    <w:rsid w:val="003350B2"/>
    <w:rsid w:val="00355F0F"/>
    <w:rsid w:val="00360B19"/>
    <w:rsid w:val="0037196D"/>
    <w:rsid w:val="003740CB"/>
    <w:rsid w:val="00383893"/>
    <w:rsid w:val="0039012D"/>
    <w:rsid w:val="003A548D"/>
    <w:rsid w:val="003C7388"/>
    <w:rsid w:val="003D0B2E"/>
    <w:rsid w:val="003D39F3"/>
    <w:rsid w:val="003E3BE7"/>
    <w:rsid w:val="003E6442"/>
    <w:rsid w:val="003E7010"/>
    <w:rsid w:val="003F725B"/>
    <w:rsid w:val="004003AD"/>
    <w:rsid w:val="00400475"/>
    <w:rsid w:val="00415436"/>
    <w:rsid w:val="0042454A"/>
    <w:rsid w:val="004264B9"/>
    <w:rsid w:val="00441C84"/>
    <w:rsid w:val="00452B7F"/>
    <w:rsid w:val="00455471"/>
    <w:rsid w:val="00484101"/>
    <w:rsid w:val="004866F6"/>
    <w:rsid w:val="004A2996"/>
    <w:rsid w:val="004A4367"/>
    <w:rsid w:val="004C35BF"/>
    <w:rsid w:val="004D769C"/>
    <w:rsid w:val="004F0E9E"/>
    <w:rsid w:val="00506391"/>
    <w:rsid w:val="00513384"/>
    <w:rsid w:val="0051355D"/>
    <w:rsid w:val="00543769"/>
    <w:rsid w:val="00550E85"/>
    <w:rsid w:val="00560467"/>
    <w:rsid w:val="00563F00"/>
    <w:rsid w:val="00582C4B"/>
    <w:rsid w:val="00585190"/>
    <w:rsid w:val="005A7DA9"/>
    <w:rsid w:val="005C3FED"/>
    <w:rsid w:val="005F17DD"/>
    <w:rsid w:val="005F4E02"/>
    <w:rsid w:val="006166D2"/>
    <w:rsid w:val="0061695D"/>
    <w:rsid w:val="00617099"/>
    <w:rsid w:val="00620F4E"/>
    <w:rsid w:val="006341D4"/>
    <w:rsid w:val="00636BCB"/>
    <w:rsid w:val="00647CBA"/>
    <w:rsid w:val="00663951"/>
    <w:rsid w:val="006A05D5"/>
    <w:rsid w:val="006A7FAA"/>
    <w:rsid w:val="006B5836"/>
    <w:rsid w:val="006D0A6F"/>
    <w:rsid w:val="006D0CC5"/>
    <w:rsid w:val="006E2C95"/>
    <w:rsid w:val="006E758B"/>
    <w:rsid w:val="007340E6"/>
    <w:rsid w:val="00750499"/>
    <w:rsid w:val="00761FC8"/>
    <w:rsid w:val="00766A62"/>
    <w:rsid w:val="007719F5"/>
    <w:rsid w:val="007754CB"/>
    <w:rsid w:val="007A7AAD"/>
    <w:rsid w:val="007B5772"/>
    <w:rsid w:val="007C2A9F"/>
    <w:rsid w:val="007C6307"/>
    <w:rsid w:val="007D32CE"/>
    <w:rsid w:val="007E16BD"/>
    <w:rsid w:val="007E2EE0"/>
    <w:rsid w:val="007F377D"/>
    <w:rsid w:val="00807421"/>
    <w:rsid w:val="00816D38"/>
    <w:rsid w:val="00823ABC"/>
    <w:rsid w:val="00857559"/>
    <w:rsid w:val="00862746"/>
    <w:rsid w:val="00881FC5"/>
    <w:rsid w:val="008A212E"/>
    <w:rsid w:val="008D10EE"/>
    <w:rsid w:val="008D25AA"/>
    <w:rsid w:val="008E6539"/>
    <w:rsid w:val="008F0A8E"/>
    <w:rsid w:val="008F613C"/>
    <w:rsid w:val="00901096"/>
    <w:rsid w:val="00914770"/>
    <w:rsid w:val="00927D6E"/>
    <w:rsid w:val="00931A2E"/>
    <w:rsid w:val="009345DC"/>
    <w:rsid w:val="009904BE"/>
    <w:rsid w:val="009A1BF3"/>
    <w:rsid w:val="009A2DB3"/>
    <w:rsid w:val="009A3BE8"/>
    <w:rsid w:val="009D0802"/>
    <w:rsid w:val="009E0EE3"/>
    <w:rsid w:val="009E1696"/>
    <w:rsid w:val="00A0077B"/>
    <w:rsid w:val="00A167CC"/>
    <w:rsid w:val="00A26BE9"/>
    <w:rsid w:val="00A33BD3"/>
    <w:rsid w:val="00A3416C"/>
    <w:rsid w:val="00A44734"/>
    <w:rsid w:val="00A516B4"/>
    <w:rsid w:val="00A52E6E"/>
    <w:rsid w:val="00A5341D"/>
    <w:rsid w:val="00A60064"/>
    <w:rsid w:val="00A625B9"/>
    <w:rsid w:val="00A67EC6"/>
    <w:rsid w:val="00A74A7F"/>
    <w:rsid w:val="00A803DC"/>
    <w:rsid w:val="00A87AD5"/>
    <w:rsid w:val="00A90ADD"/>
    <w:rsid w:val="00AA6DA1"/>
    <w:rsid w:val="00AB07E9"/>
    <w:rsid w:val="00AC66B0"/>
    <w:rsid w:val="00AD2481"/>
    <w:rsid w:val="00B13D84"/>
    <w:rsid w:val="00B232FF"/>
    <w:rsid w:val="00B52D55"/>
    <w:rsid w:val="00B6536E"/>
    <w:rsid w:val="00B83339"/>
    <w:rsid w:val="00B83C03"/>
    <w:rsid w:val="00B84C6E"/>
    <w:rsid w:val="00B86311"/>
    <w:rsid w:val="00BA5A28"/>
    <w:rsid w:val="00BB71A5"/>
    <w:rsid w:val="00BC692C"/>
    <w:rsid w:val="00BD2FA7"/>
    <w:rsid w:val="00BD6135"/>
    <w:rsid w:val="00BE565B"/>
    <w:rsid w:val="00BE5894"/>
    <w:rsid w:val="00C11C3A"/>
    <w:rsid w:val="00C173C7"/>
    <w:rsid w:val="00C37630"/>
    <w:rsid w:val="00C40626"/>
    <w:rsid w:val="00C60CDA"/>
    <w:rsid w:val="00C66B41"/>
    <w:rsid w:val="00C70B38"/>
    <w:rsid w:val="00C72FDF"/>
    <w:rsid w:val="00C74CE7"/>
    <w:rsid w:val="00CC525E"/>
    <w:rsid w:val="00CD7DA0"/>
    <w:rsid w:val="00CE1806"/>
    <w:rsid w:val="00CE4672"/>
    <w:rsid w:val="00D00421"/>
    <w:rsid w:val="00D00F21"/>
    <w:rsid w:val="00D039BA"/>
    <w:rsid w:val="00D05919"/>
    <w:rsid w:val="00D05B5E"/>
    <w:rsid w:val="00D05D0B"/>
    <w:rsid w:val="00D42931"/>
    <w:rsid w:val="00D43056"/>
    <w:rsid w:val="00D55359"/>
    <w:rsid w:val="00D557AE"/>
    <w:rsid w:val="00D66ED1"/>
    <w:rsid w:val="00D7401C"/>
    <w:rsid w:val="00D93F9A"/>
    <w:rsid w:val="00DA2B72"/>
    <w:rsid w:val="00DB0CBE"/>
    <w:rsid w:val="00DB20D4"/>
    <w:rsid w:val="00DB4A40"/>
    <w:rsid w:val="00DC732A"/>
    <w:rsid w:val="00DE6229"/>
    <w:rsid w:val="00DF0BA7"/>
    <w:rsid w:val="00E053A9"/>
    <w:rsid w:val="00E104D0"/>
    <w:rsid w:val="00E11713"/>
    <w:rsid w:val="00E265B2"/>
    <w:rsid w:val="00E439F3"/>
    <w:rsid w:val="00E615D4"/>
    <w:rsid w:val="00E724F8"/>
    <w:rsid w:val="00E810A5"/>
    <w:rsid w:val="00E81D7A"/>
    <w:rsid w:val="00E9591B"/>
    <w:rsid w:val="00EA7C2A"/>
    <w:rsid w:val="00ED4866"/>
    <w:rsid w:val="00EF66BD"/>
    <w:rsid w:val="00F2300E"/>
    <w:rsid w:val="00F247C0"/>
    <w:rsid w:val="00F26AEF"/>
    <w:rsid w:val="00F30432"/>
    <w:rsid w:val="00F3372E"/>
    <w:rsid w:val="00F3476B"/>
    <w:rsid w:val="00F35038"/>
    <w:rsid w:val="00F4103E"/>
    <w:rsid w:val="00F4550D"/>
    <w:rsid w:val="00F6132B"/>
    <w:rsid w:val="00F671D5"/>
    <w:rsid w:val="00F737F7"/>
    <w:rsid w:val="00F91C0D"/>
    <w:rsid w:val="00F95E1E"/>
    <w:rsid w:val="00F96167"/>
    <w:rsid w:val="00FA2DD8"/>
    <w:rsid w:val="00FD48EA"/>
    <w:rsid w:val="00FF53E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96ED9-E901-4090-A273-3D322539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C2"/>
    <w:rPr>
      <w:sz w:val="28"/>
      <w:szCs w:val="28"/>
    </w:rPr>
  </w:style>
  <w:style w:type="paragraph" w:styleId="10">
    <w:name w:val="heading 1"/>
    <w:basedOn w:val="a"/>
    <w:next w:val="a"/>
    <w:qFormat/>
    <w:rsid w:val="001052C2"/>
    <w:pPr>
      <w:keepNext/>
      <w:ind w:left="36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052C2"/>
    <w:pPr>
      <w:widowControl w:val="0"/>
      <w:spacing w:before="100" w:after="100"/>
    </w:pPr>
    <w:rPr>
      <w:snapToGrid w:val="0"/>
      <w:sz w:val="24"/>
    </w:rPr>
  </w:style>
  <w:style w:type="paragraph" w:customStyle="1" w:styleId="ConsPlusNormal">
    <w:name w:val="ConsPlusNormal"/>
    <w:link w:val="ConsPlusNormal0"/>
    <w:qFormat/>
    <w:rsid w:val="00105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1052C2"/>
    <w:pPr>
      <w:widowControl w:val="0"/>
      <w:suppressAutoHyphens/>
      <w:ind w:right="-173"/>
      <w:jc w:val="right"/>
    </w:pPr>
    <w:rPr>
      <w:bCs/>
      <w:sz w:val="24"/>
      <w:szCs w:val="26"/>
      <w:lang w:eastAsia="ar-SA"/>
    </w:rPr>
  </w:style>
  <w:style w:type="paragraph" w:customStyle="1" w:styleId="1">
    <w:name w:val="Стиль1"/>
    <w:basedOn w:val="a"/>
    <w:rsid w:val="001052C2"/>
    <w:pPr>
      <w:numPr>
        <w:numId w:val="1"/>
      </w:numPr>
    </w:pPr>
    <w:rPr>
      <w:sz w:val="20"/>
      <w:szCs w:val="20"/>
    </w:rPr>
  </w:style>
  <w:style w:type="paragraph" w:customStyle="1" w:styleId="ConsPlusTitle">
    <w:name w:val="ConsPlusTitle"/>
    <w:rsid w:val="001052C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ody Text"/>
    <w:basedOn w:val="a"/>
    <w:semiHidden/>
    <w:rsid w:val="001052C2"/>
    <w:pPr>
      <w:widowControl w:val="0"/>
      <w:jc w:val="center"/>
    </w:pPr>
    <w:rPr>
      <w:sz w:val="26"/>
    </w:rPr>
  </w:style>
  <w:style w:type="paragraph" w:styleId="2">
    <w:name w:val="Body Text Indent 2"/>
    <w:basedOn w:val="a"/>
    <w:semiHidden/>
    <w:rsid w:val="001052C2"/>
    <w:pPr>
      <w:widowControl w:val="0"/>
      <w:numPr>
        <w:numId w:val="2"/>
      </w:numPr>
      <w:tabs>
        <w:tab w:val="clear" w:pos="720"/>
        <w:tab w:val="num" w:pos="643"/>
      </w:tabs>
      <w:spacing w:after="120" w:line="480" w:lineRule="auto"/>
      <w:ind w:left="283" w:hanging="360"/>
    </w:pPr>
    <w:rPr>
      <w:sz w:val="22"/>
      <w:szCs w:val="22"/>
    </w:rPr>
  </w:style>
  <w:style w:type="paragraph" w:customStyle="1" w:styleId="a5">
    <w:name w:val="Знак"/>
    <w:basedOn w:val="a"/>
    <w:rsid w:val="001052C2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semiHidden/>
    <w:rsid w:val="001052C2"/>
    <w:pPr>
      <w:ind w:firstLine="360"/>
      <w:jc w:val="both"/>
    </w:pPr>
  </w:style>
  <w:style w:type="paragraph" w:styleId="3">
    <w:name w:val="Body Text Indent 3"/>
    <w:basedOn w:val="a"/>
    <w:semiHidden/>
    <w:rsid w:val="001052C2"/>
    <w:pPr>
      <w:spacing w:line="320" w:lineRule="exact"/>
      <w:ind w:firstLine="709"/>
    </w:pPr>
    <w:rPr>
      <w:bCs/>
      <w:sz w:val="26"/>
      <w:szCs w:val="26"/>
    </w:rPr>
  </w:style>
  <w:style w:type="paragraph" w:customStyle="1" w:styleId="BodyTextIndent31">
    <w:name w:val="Body Text Indent 31"/>
    <w:basedOn w:val="a"/>
    <w:rsid w:val="00550E85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qFormat/>
    <w:rsid w:val="00D00F21"/>
    <w:pPr>
      <w:spacing w:before="100" w:after="100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3C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173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230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2300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230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2300E"/>
    <w:rPr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2B5007"/>
    <w:rPr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6166D2"/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6166D2"/>
    <w:rPr>
      <w:rFonts w:ascii="Calibri" w:eastAsia="Calibri" w:hAnsi="Calibri"/>
      <w:sz w:val="22"/>
      <w:szCs w:val="21"/>
      <w:lang w:eastAsia="en-US"/>
    </w:rPr>
  </w:style>
  <w:style w:type="character" w:customStyle="1" w:styleId="ConsPlusNormal0">
    <w:name w:val="ConsPlusNormal Знак"/>
    <w:link w:val="ConsPlusNormal"/>
    <w:locked/>
    <w:rsid w:val="00CC525E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410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toc 3"/>
    <w:basedOn w:val="a"/>
    <w:next w:val="a"/>
    <w:autoRedefine/>
    <w:uiPriority w:val="39"/>
    <w:rsid w:val="00B13D84"/>
    <w:pPr>
      <w:ind w:firstLine="12"/>
    </w:pPr>
    <w:rPr>
      <w:sz w:val="20"/>
      <w:szCs w:val="20"/>
    </w:rPr>
  </w:style>
  <w:style w:type="paragraph" w:customStyle="1" w:styleId="12">
    <w:name w:val="Обычный1"/>
    <w:rsid w:val="00AB07E9"/>
    <w:pPr>
      <w:widowControl w:val="0"/>
      <w:spacing w:before="100" w:after="100"/>
    </w:pPr>
    <w:rPr>
      <w:snapToGrid w:val="0"/>
      <w:sz w:val="24"/>
    </w:rPr>
  </w:style>
  <w:style w:type="paragraph" w:customStyle="1" w:styleId="20">
    <w:name w:val="Обычный2"/>
    <w:rsid w:val="00AB07E9"/>
    <w:pPr>
      <w:widowControl w:val="0"/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9CF9-2E64-40E3-A98F-0BEFF2C4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ГУ-ВРО ФСС РФ</Company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Коростина</dc:creator>
  <cp:lastModifiedBy>Гудкова Анстасия Олеговна</cp:lastModifiedBy>
  <cp:revision>8</cp:revision>
  <cp:lastPrinted>2022-06-06T11:40:00Z</cp:lastPrinted>
  <dcterms:created xsi:type="dcterms:W3CDTF">2024-04-24T10:18:00Z</dcterms:created>
  <dcterms:modified xsi:type="dcterms:W3CDTF">2024-04-24T10:51:00Z</dcterms:modified>
</cp:coreProperties>
</file>