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78" w:rsidRPr="00FC2478" w:rsidRDefault="00FC2478" w:rsidP="00FC2478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C2478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FC24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2478" w:rsidRPr="00FC2478" w:rsidRDefault="00FC2478" w:rsidP="00FC2478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C2478">
        <w:rPr>
          <w:rFonts w:ascii="Times New Roman" w:eastAsia="Calibri" w:hAnsi="Times New Roman" w:cs="Times New Roman"/>
          <w:i/>
          <w:sz w:val="24"/>
          <w:szCs w:val="24"/>
        </w:rPr>
        <w:t>к извещению о проведении закупки</w:t>
      </w:r>
    </w:p>
    <w:p w:rsidR="00FC2478" w:rsidRDefault="00FC2478" w:rsidP="00FC2478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478" w:rsidRPr="00FC2478" w:rsidRDefault="00FC2478" w:rsidP="00FC2478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</w:t>
      </w:r>
      <w:r w:rsidRPr="00FC24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ехническое задание) </w:t>
      </w:r>
    </w:p>
    <w:p w:rsidR="00FC2478" w:rsidRPr="00FC2478" w:rsidRDefault="00FC2478" w:rsidP="00FC2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Pr="00FC2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поставку в 2024 году автомобилей (далее- Товар) </w:t>
      </w: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социального обеспечения граждан (</w:t>
      </w:r>
      <w:r w:rsidRPr="00FC2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далее-Получатели)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Срок </w:t>
      </w: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поставки Товара:</w:t>
      </w:r>
      <w:r w:rsidRPr="00FC2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дня, следующего за днем заключения государственного контракта, до </w:t>
      </w:r>
      <w:r w:rsidRPr="00FC2478">
        <w:rPr>
          <w:rFonts w:ascii="Times New Roman" w:eastAsia="Calibri" w:hAnsi="Times New Roman" w:cs="Times New Roman"/>
          <w:lang w:eastAsia="ru-RU"/>
        </w:rPr>
        <w:t>30.11.2024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FC2478" w:rsidRPr="00FC2478" w:rsidRDefault="00FC2478" w:rsidP="00FC247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Санкт-Петербург.</w:t>
      </w:r>
    </w:p>
    <w:p w:rsidR="00FC2478" w:rsidRPr="00FC2478" w:rsidRDefault="00FC2478" w:rsidP="00FC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жительства (место пребывания, фактического проживания) Получателей: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 Ленинградская область.</w:t>
      </w:r>
    </w:p>
    <w:p w:rsidR="00FC2478" w:rsidRPr="00FC2478" w:rsidRDefault="00FC2478" w:rsidP="00FC2478">
      <w:pPr>
        <w:spacing w:after="200" w:line="276" w:lineRule="auto"/>
        <w:ind w:right="-25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sz w:val="24"/>
          <w:szCs w:val="24"/>
          <w:lang w:eastAsia="ru-RU"/>
        </w:rPr>
        <w:t>1.Товар должен отвечать следующим требованиям: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9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5245"/>
        <w:gridCol w:w="1786"/>
        <w:gridCol w:w="851"/>
      </w:tblGrid>
      <w:tr w:rsidR="00FC2478" w:rsidRPr="00FC2478" w:rsidTr="00C53A55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Техническая 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FC2478" w:rsidRPr="00FC2478" w:rsidTr="004B09B1">
        <w:trPr>
          <w:trHeight w:val="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Значение</w:t>
            </w:r>
            <w:r w:rsidRPr="00FC2478">
              <w:rPr>
                <w:rFonts w:ascii="Times New Roman" w:eastAsia="Calibri" w:hAnsi="Times New Roman" w:cs="Times New Roman"/>
              </w:rPr>
              <w:t xml:space="preserve"> характеристик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  <w:r w:rsidRPr="00FC2478">
              <w:rPr>
                <w:rFonts w:ascii="Times New Roman" w:eastAsia="Calibri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правой ноги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B7008D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2478" w:rsidRPr="00FC2478" w:rsidTr="004B09B1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коробка переключения передач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17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FC2478">
              <w:rPr>
                <w:rFonts w:ascii="Times New Roman" w:eastAsia="Calibri" w:hAnsi="Times New Roman" w:cs="Times New Roman"/>
                <w:lang w:eastAsia="ru-RU"/>
              </w:rPr>
              <w:t xml:space="preserve">антиблокировочная тормозная система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4B09B1" w:rsidRDefault="004B09B1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</w:t>
            </w:r>
            <w:bookmarkStart w:id="0" w:name="_Hlk158898441"/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  <w:bookmarkEnd w:id="0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3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C2478">
              <w:rPr>
                <w:rFonts w:ascii="Times New Roman" w:eastAsia="Calibri" w:hAnsi="Times New Roman" w:cs="Times New Roman"/>
                <w:color w:val="333333"/>
                <w:lang w:eastAsia="ru-RU"/>
              </w:rPr>
              <w:t xml:space="preserve">Транспортные средства для инвалидов без левой ноги: </w:t>
            </w:r>
            <w:r w:rsidRPr="00FC2478">
              <w:rPr>
                <w:rFonts w:ascii="Times New Roman" w:eastAsia="Calibri" w:hAnsi="Times New Roman" w:cs="Times New Roman"/>
                <w:color w:val="333333"/>
                <w:lang w:eastAsia="ru-RU"/>
              </w:rPr>
              <w:lastRenderedPageBreak/>
              <w:t>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Получателей без левой ноги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B7008D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2478" w:rsidRPr="00FC2478" w:rsidTr="004B09B1">
        <w:trPr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коробка переключения передач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Адаптированные органы управления и </w:t>
            </w:r>
            <w:r w:rsidRPr="00FC2478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4B09B1" w:rsidRDefault="004B09B1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4B09B1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4B09B1">
        <w:trPr>
          <w:trHeight w:val="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B700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B7008D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FC2478" w:rsidRPr="00FC2478" w:rsidRDefault="00FC2478" w:rsidP="00FC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 xml:space="preserve">Обоснование включения дополнительной информации в сведения о товаре, работе, услуге: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>- Программа реабилитации пострадавшего,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>- медицинское заключение о допуске к вождению,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>- ГОСТ 33668-2015 гл.3. «Автомобили. Транспортные средства. Органы управления для водителей - инвалидов с нарушениями функции рук и ног. Технические требования и методы испытаний».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Поставщик должен поставлять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имеющий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одобрение типа транспортного средства</w:t>
      </w:r>
      <w:r w:rsidRPr="00FC24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 w:rsidRPr="00FC24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предназначенным для лиц с ограниченными 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Товар должен быть свободным от прав третьих лиц.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его получения Получателем или не менее 100 тысяч километров пробега, в зависимости от того, какое условие наступит раньше.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период гарантийного срока.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FC24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Поставщику и Получателю до момента поставки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Товара.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является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предпродажную подготовку Товара.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Получателям вместе с Товаром: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талон на автомобиль;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сервисную книжку;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автомобиля;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устройств управления автомобилями;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ключей.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осуществляется Заказчиком путем проведения проверки соответствия количества, проверки (в том числе выборочной) соответствия комплектности и качества Товара требованиям, установленным в Контракте, а также путем анализа содержания документов, предоставляемых Поставщиком и проверки их оформления требованиям законодательства Российской Федерации и условиям Контракта.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проверки Заказчик вправе осуществлять </w:t>
      </w:r>
      <w:proofErr w:type="spellStart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фотофиксацию</w:t>
      </w:r>
      <w:proofErr w:type="spellEnd"/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видеозапись.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предоставленных Поставщиком Товара, предусмотренных Контрактом, в части их соответствия условиям Контракта, Заказчик проводит экспертизу. Экспертиза Товара осуществляется в соответствии с требованиями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экспертизы своими силами приемка Товара осуществляется Заказчиком в срок не более 5 (пяти) рабочих дней со дня предоставления Поставщиком документов, предусмотренных контрактом. В случае проведения экспертизы с привлечением экспертов (экспертных организаций) приемка Товара осуществляется Заказчиком в срок не более 5 (пяти) рабочих дней.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приемки Заказчик в течение 1 (одного) рабочего дня оформляет результаты приемки путем подписания акта о приемке результатов исполнения государственного контракта либо направляет Поставщику мотивированный отказ от их подписания с указанием срока устранения нарушений. Товар считается принятым после подписания Сторонами акта о приемке результатов исполнения государственного контракта и акта поставки товара в пользу пострадавших от несчастных случаев на производстве и профессиональных заболеваний.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</w:t>
      </w:r>
      <w:r w:rsidR="00B700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vred@78.</w:t>
        </w:r>
        <w:proofErr w:type="spellStart"/>
        <w:r w:rsidRPr="00FC24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sfr</w:t>
        </w:r>
        <w:proofErr w:type="spellEnd"/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C24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04BB6" w:rsidRDefault="006732CE">
      <w:bookmarkStart w:id="1" w:name="_GoBack"/>
      <w:bookmarkEnd w:id="1"/>
    </w:p>
    <w:sectPr w:rsidR="00304BB6">
      <w:headerReference w:type="default" r:id="rId7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CE" w:rsidRDefault="006732CE">
      <w:pPr>
        <w:spacing w:after="0" w:line="240" w:lineRule="auto"/>
      </w:pPr>
      <w:r>
        <w:separator/>
      </w:r>
    </w:p>
  </w:endnote>
  <w:endnote w:type="continuationSeparator" w:id="0">
    <w:p w:rsidR="006732CE" w:rsidRDefault="006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CE" w:rsidRDefault="006732CE">
      <w:pPr>
        <w:spacing w:after="0" w:line="240" w:lineRule="auto"/>
      </w:pPr>
      <w:r>
        <w:separator/>
      </w:r>
    </w:p>
  </w:footnote>
  <w:footnote w:type="continuationSeparator" w:id="0">
    <w:p w:rsidR="006732CE" w:rsidRDefault="006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8049"/>
      <w:docPartObj>
        <w:docPartGallery w:val="Page Numbers (Top of Page)"/>
        <w:docPartUnique/>
      </w:docPartObj>
    </w:sdtPr>
    <w:sdtEndPr/>
    <w:sdtContent>
      <w:p w:rsidR="008B52AF" w:rsidRDefault="00FC2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B1">
          <w:rPr>
            <w:noProof/>
          </w:rPr>
          <w:t>5</w:t>
        </w:r>
        <w:r>
          <w:fldChar w:fldCharType="end"/>
        </w:r>
      </w:p>
    </w:sdtContent>
  </w:sdt>
  <w:p w:rsidR="008B52AF" w:rsidRDefault="00673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8"/>
    <w:rsid w:val="004B09B1"/>
    <w:rsid w:val="006732CE"/>
    <w:rsid w:val="008E0768"/>
    <w:rsid w:val="00B7008D"/>
    <w:rsid w:val="00E30DC0"/>
    <w:rsid w:val="00F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0C89-39DA-4B98-B6E2-25156FA0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C24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ed@ro78.fs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Брик Игорь Васильевич</cp:lastModifiedBy>
  <cp:revision>3</cp:revision>
  <dcterms:created xsi:type="dcterms:W3CDTF">2024-08-19T15:24:00Z</dcterms:created>
  <dcterms:modified xsi:type="dcterms:W3CDTF">2024-09-13T10:46:00Z</dcterms:modified>
</cp:coreProperties>
</file>