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1C9EB" w14:textId="77777777" w:rsidR="009A2A71" w:rsidRPr="005C6C4C" w:rsidRDefault="009A2A71" w:rsidP="009A2A71">
      <w:pPr>
        <w:widowControl w:val="0"/>
        <w:autoSpaceDE w:val="0"/>
        <w:autoSpaceDN w:val="0"/>
        <w:outlineLvl w:val="2"/>
        <w:rPr>
          <w:b/>
          <w:bCs/>
          <w:sz w:val="24"/>
          <w:szCs w:val="24"/>
        </w:rPr>
      </w:pPr>
      <w:r w:rsidRPr="005C6C4C">
        <w:rPr>
          <w:b/>
          <w:bCs/>
          <w:sz w:val="24"/>
          <w:szCs w:val="24"/>
        </w:rPr>
        <w:t xml:space="preserve">                                                  </w:t>
      </w:r>
      <w:bookmarkStart w:id="0" w:name="_GoBack"/>
      <w:r w:rsidRPr="005C6C4C">
        <w:rPr>
          <w:b/>
          <w:bCs/>
          <w:sz w:val="24"/>
          <w:szCs w:val="24"/>
        </w:rPr>
        <w:t>Описание объекта закупки</w:t>
      </w:r>
      <w:bookmarkEnd w:id="0"/>
    </w:p>
    <w:p w14:paraId="250C2832" w14:textId="77777777" w:rsidR="009A2A71" w:rsidRPr="005C6C4C" w:rsidRDefault="009A2A71" w:rsidP="009A2A71">
      <w:pPr>
        <w:widowControl w:val="0"/>
        <w:autoSpaceDE w:val="0"/>
        <w:autoSpaceDN w:val="0"/>
        <w:outlineLvl w:val="2"/>
        <w:rPr>
          <w:b/>
          <w:bCs/>
          <w:sz w:val="24"/>
          <w:szCs w:val="24"/>
        </w:rPr>
      </w:pPr>
    </w:p>
    <w:p w14:paraId="39B7C683" w14:textId="77777777" w:rsidR="009A2A71" w:rsidRDefault="009A2A71" w:rsidP="009A2A71">
      <w:pPr>
        <w:widowControl w:val="0"/>
        <w:tabs>
          <w:tab w:val="left" w:pos="0"/>
        </w:tabs>
        <w:rPr>
          <w:sz w:val="22"/>
          <w:szCs w:val="22"/>
          <w:lang w:eastAsia="ar-SA"/>
        </w:rPr>
      </w:pPr>
      <w:r w:rsidRPr="005C6C4C">
        <w:rPr>
          <w:b/>
          <w:sz w:val="24"/>
          <w:szCs w:val="24"/>
        </w:rPr>
        <w:t>Наименование объекта закупки:</w:t>
      </w:r>
      <w:r>
        <w:rPr>
          <w:sz w:val="24"/>
          <w:szCs w:val="24"/>
        </w:rPr>
        <w:t xml:space="preserve"> </w:t>
      </w:r>
      <w:r w:rsidRPr="009A2A71">
        <w:rPr>
          <w:sz w:val="22"/>
          <w:szCs w:val="22"/>
          <w:lang w:eastAsia="ar-SA"/>
        </w:rPr>
        <w:t>Обеспечение протезом бедра модульного с микропроцессорным управлением в 2024г.</w:t>
      </w:r>
    </w:p>
    <w:p w14:paraId="3843959C" w14:textId="77777777" w:rsidR="00854926" w:rsidRDefault="00854926" w:rsidP="00854926">
      <w:pPr>
        <w:widowControl w:val="0"/>
        <w:tabs>
          <w:tab w:val="left" w:pos="0"/>
        </w:tabs>
        <w:rPr>
          <w:sz w:val="24"/>
          <w:szCs w:val="24"/>
        </w:rPr>
      </w:pPr>
      <w:r>
        <w:rPr>
          <w:b/>
          <w:sz w:val="24"/>
          <w:szCs w:val="24"/>
        </w:rPr>
        <w:t>Количество выполняемых работ</w:t>
      </w:r>
      <w:r>
        <w:rPr>
          <w:sz w:val="24"/>
          <w:szCs w:val="24"/>
        </w:rPr>
        <w:t>: 1 шт.</w:t>
      </w:r>
    </w:p>
    <w:p w14:paraId="13CF52E6" w14:textId="77777777" w:rsidR="00854926" w:rsidRDefault="00854926" w:rsidP="00854926">
      <w:pPr>
        <w:widowControl w:val="0"/>
        <w:rPr>
          <w:bCs/>
          <w:sz w:val="22"/>
          <w:szCs w:val="22"/>
        </w:rPr>
      </w:pPr>
      <w:r>
        <w:rPr>
          <w:b/>
          <w:bCs/>
          <w:sz w:val="24"/>
          <w:szCs w:val="24"/>
        </w:rPr>
        <w:t>Место выполнения работ:</w:t>
      </w:r>
      <w:r>
        <w:rPr>
          <w:bCs/>
          <w:sz w:val="24"/>
          <w:szCs w:val="24"/>
        </w:rPr>
        <w:t xml:space="preserve"> </w:t>
      </w:r>
      <w:r>
        <w:rPr>
          <w:sz w:val="22"/>
          <w:szCs w:val="22"/>
        </w:rPr>
        <w:t>Российская Федерация, по месту нахождения Исполнителя по индивидуальным заказам получателя</w:t>
      </w:r>
    </w:p>
    <w:p w14:paraId="13ABF123" w14:textId="562F2D62" w:rsidR="00854926" w:rsidRDefault="00854926" w:rsidP="00854926">
      <w:pPr>
        <w:widowControl w:val="0"/>
        <w:rPr>
          <w:bCs/>
          <w:sz w:val="24"/>
          <w:szCs w:val="24"/>
        </w:rPr>
      </w:pPr>
      <w:r>
        <w:rPr>
          <w:b/>
          <w:bCs/>
          <w:sz w:val="24"/>
          <w:szCs w:val="24"/>
        </w:rPr>
        <w:t>Срок выполнения работ:</w:t>
      </w:r>
      <w:r>
        <w:rPr>
          <w:bCs/>
          <w:sz w:val="24"/>
          <w:szCs w:val="24"/>
        </w:rPr>
        <w:t xml:space="preserve"> Исполнитель выполняет работу и передает ее результат получателю в течении 60 дней с момента получения направления от получателя.</w:t>
      </w:r>
    </w:p>
    <w:p w14:paraId="2944CE4B" w14:textId="54365D6C" w:rsidR="001C7DC0" w:rsidRDefault="001A41D8" w:rsidP="001A41D8">
      <w:pPr>
        <w:tabs>
          <w:tab w:val="left" w:pos="6285"/>
        </w:tabs>
        <w:rPr>
          <w:b/>
          <w:sz w:val="28"/>
          <w:szCs w:val="28"/>
        </w:rPr>
      </w:pPr>
      <w:r>
        <w:rPr>
          <w:b/>
          <w:sz w:val="28"/>
          <w:szCs w:val="28"/>
        </w:rPr>
        <w:tab/>
      </w:r>
    </w:p>
    <w:p w14:paraId="47659ED9" w14:textId="77777777" w:rsidR="00FC6958" w:rsidRDefault="00FC6958" w:rsidP="00FC6958">
      <w:pPr>
        <w:jc w:val="center"/>
        <w:rPr>
          <w:b/>
          <w:sz w:val="28"/>
          <w:szCs w:val="28"/>
        </w:rPr>
      </w:pPr>
    </w:p>
    <w:tbl>
      <w:tblPr>
        <w:tblStyle w:val="a4"/>
        <w:tblW w:w="5000" w:type="pct"/>
        <w:tblLayout w:type="fixed"/>
        <w:tblLook w:val="04A0" w:firstRow="1" w:lastRow="0" w:firstColumn="1" w:lastColumn="0" w:noHBand="0" w:noVBand="1"/>
      </w:tblPr>
      <w:tblGrid>
        <w:gridCol w:w="1434"/>
        <w:gridCol w:w="7303"/>
        <w:gridCol w:w="1034"/>
      </w:tblGrid>
      <w:tr w:rsidR="009A2A71" w:rsidRPr="005B4B94" w14:paraId="634BB76B" w14:textId="0FAC087B" w:rsidTr="009A2A71">
        <w:trPr>
          <w:trHeight w:val="469"/>
        </w:trPr>
        <w:tc>
          <w:tcPr>
            <w:tcW w:w="734" w:type="pct"/>
            <w:vAlign w:val="center"/>
          </w:tcPr>
          <w:p w14:paraId="208BC247" w14:textId="62AD4657" w:rsidR="002C1D82" w:rsidRPr="005B4B94" w:rsidRDefault="002C1D82" w:rsidP="00D37A02">
            <w:pPr>
              <w:jc w:val="center"/>
              <w:rPr>
                <w:b/>
                <w:sz w:val="22"/>
                <w:szCs w:val="22"/>
              </w:rPr>
            </w:pPr>
            <w:r w:rsidRPr="005B4B94">
              <w:rPr>
                <w:b/>
                <w:sz w:val="22"/>
                <w:szCs w:val="22"/>
              </w:rPr>
              <w:t>Наименование</w:t>
            </w:r>
          </w:p>
        </w:tc>
        <w:tc>
          <w:tcPr>
            <w:tcW w:w="3737" w:type="pct"/>
            <w:vAlign w:val="center"/>
          </w:tcPr>
          <w:p w14:paraId="2CA8D04C" w14:textId="77777777" w:rsidR="002C1D82" w:rsidRPr="005B4B94" w:rsidRDefault="002C1D82" w:rsidP="00D37A02">
            <w:pPr>
              <w:jc w:val="center"/>
              <w:rPr>
                <w:b/>
                <w:bCs/>
                <w:sz w:val="22"/>
                <w:szCs w:val="22"/>
              </w:rPr>
            </w:pPr>
            <w:r w:rsidRPr="005B4B94">
              <w:rPr>
                <w:b/>
                <w:bCs/>
                <w:sz w:val="22"/>
                <w:szCs w:val="22"/>
              </w:rPr>
              <w:t>Описание функциональных характеристик</w:t>
            </w:r>
          </w:p>
        </w:tc>
        <w:tc>
          <w:tcPr>
            <w:tcW w:w="529" w:type="pct"/>
          </w:tcPr>
          <w:p w14:paraId="55CE042A" w14:textId="5C958A49" w:rsidR="002C1D82" w:rsidRPr="009A2A71" w:rsidRDefault="009A2A71" w:rsidP="009A2A71">
            <w:pPr>
              <w:snapToGrid w:val="0"/>
              <w:ind w:hanging="634"/>
              <w:rPr>
                <w:sz w:val="24"/>
              </w:rPr>
            </w:pPr>
            <w:r>
              <w:rPr>
                <w:sz w:val="24"/>
                <w:lang w:val="en-US"/>
              </w:rPr>
              <w:t xml:space="preserve">             </w:t>
            </w:r>
            <w:r>
              <w:rPr>
                <w:sz w:val="24"/>
              </w:rPr>
              <w:t>Кол-во,</w:t>
            </w:r>
            <w:r>
              <w:rPr>
                <w:sz w:val="24"/>
                <w:lang w:val="en-US"/>
              </w:rPr>
              <w:t xml:space="preserve"> </w:t>
            </w:r>
            <w:proofErr w:type="spellStart"/>
            <w:r>
              <w:rPr>
                <w:sz w:val="24"/>
              </w:rPr>
              <w:t>шт</w:t>
            </w:r>
            <w:proofErr w:type="spellEnd"/>
          </w:p>
        </w:tc>
      </w:tr>
      <w:tr w:rsidR="009A2A71" w:rsidRPr="005B4B94" w14:paraId="37E40023" w14:textId="5B82A2E9" w:rsidTr="009A2A71">
        <w:tc>
          <w:tcPr>
            <w:tcW w:w="734" w:type="pct"/>
          </w:tcPr>
          <w:p w14:paraId="73764431" w14:textId="77777777" w:rsidR="002C1D82" w:rsidRPr="00BA7932" w:rsidRDefault="002C1D82" w:rsidP="007F7491">
            <w:pPr>
              <w:rPr>
                <w:sz w:val="24"/>
                <w:szCs w:val="22"/>
              </w:rPr>
            </w:pPr>
            <w:r w:rsidRPr="00BA7932">
              <w:rPr>
                <w:sz w:val="24"/>
                <w:szCs w:val="22"/>
              </w:rPr>
              <w:t>Протез бедра модульный с микропроцессорным управлением</w:t>
            </w:r>
          </w:p>
          <w:p w14:paraId="2B314CDF" w14:textId="2684C4E0" w:rsidR="002C1D82" w:rsidRPr="00BA7932" w:rsidRDefault="002C1D82" w:rsidP="007F7491">
            <w:pPr>
              <w:rPr>
                <w:sz w:val="24"/>
                <w:szCs w:val="22"/>
              </w:rPr>
            </w:pPr>
          </w:p>
          <w:p w14:paraId="4E818F8E" w14:textId="77777777" w:rsidR="002C1D82" w:rsidRPr="00BA7932" w:rsidRDefault="002C1D82" w:rsidP="007F7491">
            <w:pPr>
              <w:rPr>
                <w:sz w:val="24"/>
                <w:szCs w:val="22"/>
              </w:rPr>
            </w:pPr>
          </w:p>
          <w:p w14:paraId="1D5EC069" w14:textId="77777777" w:rsidR="002C1D82" w:rsidRPr="00BA7932" w:rsidRDefault="002C1D82" w:rsidP="007F7491">
            <w:pPr>
              <w:rPr>
                <w:sz w:val="24"/>
                <w:szCs w:val="22"/>
              </w:rPr>
            </w:pPr>
          </w:p>
          <w:p w14:paraId="6F4EFB4E" w14:textId="6AECF026" w:rsidR="002C1D82" w:rsidRPr="00BA7932" w:rsidRDefault="002C1D82" w:rsidP="007F7491">
            <w:pPr>
              <w:rPr>
                <w:sz w:val="24"/>
                <w:szCs w:val="22"/>
              </w:rPr>
            </w:pPr>
          </w:p>
        </w:tc>
        <w:tc>
          <w:tcPr>
            <w:tcW w:w="3737" w:type="pct"/>
          </w:tcPr>
          <w:p w14:paraId="70E0EF61" w14:textId="77777777" w:rsidR="002C1D82" w:rsidRPr="00821CE8" w:rsidRDefault="002C1D82" w:rsidP="005B1DFA">
            <w:pPr>
              <w:autoSpaceDE w:val="0"/>
              <w:autoSpaceDN w:val="0"/>
              <w:adjustRightInd w:val="0"/>
              <w:jc w:val="both"/>
              <w:rPr>
                <w:color w:val="000000"/>
                <w:sz w:val="24"/>
                <w:szCs w:val="22"/>
              </w:rPr>
            </w:pPr>
            <w:r w:rsidRPr="00821CE8">
              <w:rPr>
                <w:color w:val="000000"/>
                <w:sz w:val="24"/>
                <w:szCs w:val="22"/>
              </w:rPr>
              <w:t xml:space="preserve">Протез бедра с микропроцессорным управлением. </w:t>
            </w:r>
          </w:p>
          <w:p w14:paraId="004C4810" w14:textId="77777777" w:rsidR="002C1D82" w:rsidRPr="00821CE8" w:rsidRDefault="002C1D82" w:rsidP="005B1DFA">
            <w:pPr>
              <w:autoSpaceDE w:val="0"/>
              <w:autoSpaceDN w:val="0"/>
              <w:adjustRightInd w:val="0"/>
              <w:jc w:val="both"/>
              <w:rPr>
                <w:color w:val="000000"/>
                <w:sz w:val="24"/>
                <w:szCs w:val="22"/>
              </w:rPr>
            </w:pPr>
            <w:r w:rsidRPr="00821CE8">
              <w:rPr>
                <w:color w:val="000000"/>
                <w:sz w:val="24"/>
                <w:szCs w:val="22"/>
              </w:rPr>
              <w:t>Приемная диагностическая гильза из термопластичных листовых материалов.</w:t>
            </w:r>
          </w:p>
          <w:p w14:paraId="09754FFA" w14:textId="0081AD70" w:rsidR="002C1D82" w:rsidRDefault="002C1D82" w:rsidP="005B1DFA">
            <w:pPr>
              <w:autoSpaceDE w:val="0"/>
              <w:autoSpaceDN w:val="0"/>
              <w:adjustRightInd w:val="0"/>
              <w:jc w:val="both"/>
              <w:rPr>
                <w:color w:val="000000"/>
                <w:sz w:val="24"/>
                <w:szCs w:val="22"/>
              </w:rPr>
            </w:pPr>
            <w:r w:rsidRPr="00821CE8">
              <w:rPr>
                <w:color w:val="000000"/>
                <w:sz w:val="24"/>
                <w:szCs w:val="22"/>
              </w:rPr>
              <w:t xml:space="preserve">Постоянная несущая приемная гильза индивидуальная изготавливается по жидкофазной технологии вакуумным методом и состоит из слоистых </w:t>
            </w:r>
            <w:proofErr w:type="spellStart"/>
            <w:r w:rsidRPr="00821CE8">
              <w:rPr>
                <w:color w:val="000000"/>
                <w:sz w:val="24"/>
                <w:szCs w:val="22"/>
              </w:rPr>
              <w:t>полиармированных</w:t>
            </w:r>
            <w:proofErr w:type="spellEnd"/>
            <w:r w:rsidRPr="00821CE8">
              <w:rPr>
                <w:color w:val="000000"/>
                <w:sz w:val="24"/>
                <w:szCs w:val="22"/>
              </w:rPr>
              <w:t xml:space="preserve"> композиционных материалов на основе акриловых смол с усилением участков давления угольными тканевыми элементами. </w:t>
            </w:r>
          </w:p>
          <w:p w14:paraId="09E75C49" w14:textId="5A002010" w:rsidR="00051193" w:rsidRPr="00051193" w:rsidRDefault="00051193" w:rsidP="005B1DFA">
            <w:pPr>
              <w:autoSpaceDE w:val="0"/>
              <w:autoSpaceDN w:val="0"/>
              <w:adjustRightInd w:val="0"/>
              <w:jc w:val="both"/>
              <w:rPr>
                <w:color w:val="000000"/>
                <w:sz w:val="24"/>
                <w:szCs w:val="22"/>
              </w:rPr>
            </w:pPr>
            <w:r>
              <w:rPr>
                <w:color w:val="000000"/>
                <w:sz w:val="24"/>
                <w:szCs w:val="22"/>
              </w:rPr>
              <w:t xml:space="preserve">Крепление протеза вакуумное. </w:t>
            </w:r>
            <w:r w:rsidR="004B1AC5">
              <w:rPr>
                <w:color w:val="000000"/>
                <w:sz w:val="24"/>
                <w:szCs w:val="22"/>
              </w:rPr>
              <w:t>Д</w:t>
            </w:r>
            <w:r>
              <w:rPr>
                <w:color w:val="000000"/>
                <w:sz w:val="24"/>
                <w:szCs w:val="22"/>
              </w:rPr>
              <w:t>ополнительное креплен</w:t>
            </w:r>
            <w:r w:rsidR="004B1AC5">
              <w:rPr>
                <w:color w:val="000000"/>
                <w:sz w:val="24"/>
                <w:szCs w:val="22"/>
              </w:rPr>
              <w:t>ие</w:t>
            </w:r>
            <w:r>
              <w:rPr>
                <w:color w:val="000000"/>
                <w:sz w:val="24"/>
                <w:szCs w:val="22"/>
              </w:rPr>
              <w:t xml:space="preserve"> банд</w:t>
            </w:r>
            <w:r w:rsidR="004B1AC5">
              <w:rPr>
                <w:color w:val="000000"/>
                <w:sz w:val="24"/>
                <w:szCs w:val="22"/>
              </w:rPr>
              <w:t>аж.</w:t>
            </w:r>
          </w:p>
          <w:p w14:paraId="7489EC35" w14:textId="77777777" w:rsidR="002C1D82" w:rsidRPr="00821CE8" w:rsidRDefault="002C1D82" w:rsidP="005B1DFA">
            <w:pPr>
              <w:autoSpaceDE w:val="0"/>
              <w:autoSpaceDN w:val="0"/>
              <w:adjustRightInd w:val="0"/>
              <w:jc w:val="both"/>
              <w:rPr>
                <w:color w:val="000000"/>
                <w:sz w:val="24"/>
                <w:szCs w:val="22"/>
              </w:rPr>
            </w:pPr>
            <w:r w:rsidRPr="00821CE8">
              <w:rPr>
                <w:color w:val="000000"/>
                <w:sz w:val="24"/>
                <w:szCs w:val="22"/>
              </w:rPr>
              <w:t xml:space="preserve">Регулировочно-соединительные устройства соответствуют весу пациента. </w:t>
            </w:r>
          </w:p>
          <w:p w14:paraId="0C8A7089" w14:textId="77777777" w:rsidR="00215877" w:rsidRPr="00821CE8" w:rsidRDefault="00C6352D" w:rsidP="005B1DFA">
            <w:pPr>
              <w:autoSpaceDE w:val="0"/>
              <w:autoSpaceDN w:val="0"/>
              <w:adjustRightInd w:val="0"/>
              <w:jc w:val="both"/>
              <w:rPr>
                <w:color w:val="000000"/>
                <w:sz w:val="24"/>
                <w:szCs w:val="22"/>
              </w:rPr>
            </w:pPr>
            <w:r w:rsidRPr="00821CE8">
              <w:rPr>
                <w:color w:val="000000"/>
                <w:sz w:val="24"/>
                <w:szCs w:val="22"/>
              </w:rPr>
              <w:t xml:space="preserve">Одноосный гидравлический коленный модуль с электронным контролем фазами опоры и переноса, обеспечивающий безопасную, физиологическую ходьбу по любой поверхности, позволяет подниматься по ступенькам переменным шагом, с функцией автоматической подстройки коленного шарнира под скорость и условия ходьбы пациента, с функцией безопасного движения спиной вперед. </w:t>
            </w:r>
          </w:p>
          <w:p w14:paraId="08293BCA" w14:textId="55B49A25" w:rsidR="00C6352D" w:rsidRPr="00821CE8" w:rsidRDefault="00C6352D" w:rsidP="005B1DFA">
            <w:pPr>
              <w:autoSpaceDE w:val="0"/>
              <w:autoSpaceDN w:val="0"/>
              <w:adjustRightInd w:val="0"/>
              <w:jc w:val="both"/>
              <w:rPr>
                <w:color w:val="000000"/>
                <w:sz w:val="24"/>
                <w:szCs w:val="22"/>
              </w:rPr>
            </w:pPr>
            <w:r w:rsidRPr="00051193">
              <w:rPr>
                <w:color w:val="000000"/>
                <w:sz w:val="24"/>
                <w:szCs w:val="22"/>
              </w:rPr>
              <w:t>Поворотное регулировочно-соединительное устройство</w:t>
            </w:r>
            <w:r w:rsidR="00215877" w:rsidRPr="00051193">
              <w:rPr>
                <w:color w:val="000000"/>
                <w:sz w:val="24"/>
                <w:szCs w:val="22"/>
              </w:rPr>
              <w:t>.</w:t>
            </w:r>
          </w:p>
          <w:p w14:paraId="371FE434" w14:textId="608E3A76" w:rsidR="00AA0457" w:rsidRPr="00821CE8" w:rsidRDefault="00840B7A" w:rsidP="005B1DFA">
            <w:pPr>
              <w:jc w:val="both"/>
              <w:rPr>
                <w:color w:val="000000"/>
                <w:sz w:val="24"/>
                <w:szCs w:val="22"/>
              </w:rPr>
            </w:pPr>
            <w:r w:rsidRPr="00840B7A">
              <w:rPr>
                <w:color w:val="000000"/>
                <w:sz w:val="24"/>
                <w:szCs w:val="22"/>
              </w:rPr>
              <w:t>Стопа для</w:t>
            </w:r>
            <w:r w:rsidR="00860200">
              <w:rPr>
                <w:color w:val="000000"/>
                <w:sz w:val="24"/>
                <w:szCs w:val="22"/>
              </w:rPr>
              <w:t xml:space="preserve"> активных</w:t>
            </w:r>
            <w:r w:rsidRPr="00840B7A">
              <w:rPr>
                <w:color w:val="000000"/>
                <w:sz w:val="24"/>
                <w:szCs w:val="22"/>
              </w:rPr>
              <w:t xml:space="preserve"> п</w:t>
            </w:r>
            <w:r w:rsidR="00860200">
              <w:rPr>
                <w:color w:val="000000"/>
                <w:sz w:val="24"/>
                <w:szCs w:val="22"/>
              </w:rPr>
              <w:t xml:space="preserve">ользователей, </w:t>
            </w:r>
            <w:r w:rsidRPr="00840B7A">
              <w:rPr>
                <w:color w:val="000000"/>
                <w:sz w:val="24"/>
                <w:szCs w:val="22"/>
              </w:rPr>
              <w:t>с возвратом энергии и плавным перекатом</w:t>
            </w:r>
            <w:r w:rsidR="002437CC">
              <w:rPr>
                <w:color w:val="000000"/>
                <w:sz w:val="24"/>
                <w:szCs w:val="22"/>
              </w:rPr>
              <w:t>,</w:t>
            </w:r>
            <w:r w:rsidRPr="00840B7A">
              <w:rPr>
                <w:color w:val="000000"/>
                <w:sz w:val="24"/>
                <w:szCs w:val="22"/>
              </w:rPr>
              <w:t xml:space="preserve"> с функциями амортизации и вращения, отведенным больши</w:t>
            </w:r>
            <w:r>
              <w:rPr>
                <w:color w:val="000000"/>
                <w:sz w:val="24"/>
                <w:szCs w:val="22"/>
              </w:rPr>
              <w:t>м</w:t>
            </w:r>
            <w:r w:rsidRPr="00840B7A">
              <w:rPr>
                <w:color w:val="000000"/>
                <w:sz w:val="24"/>
                <w:szCs w:val="22"/>
              </w:rPr>
              <w:t xml:space="preserve"> пальцем. Опорны</w:t>
            </w:r>
            <w:r w:rsidR="00717203">
              <w:rPr>
                <w:color w:val="000000"/>
                <w:sz w:val="24"/>
                <w:szCs w:val="22"/>
              </w:rPr>
              <w:t>й</w:t>
            </w:r>
            <w:r w:rsidRPr="00840B7A">
              <w:rPr>
                <w:color w:val="000000"/>
                <w:sz w:val="24"/>
                <w:szCs w:val="22"/>
              </w:rPr>
              <w:t xml:space="preserve"> модуль включает в себя полноразмерную переднюю часть и широкую пластину стопы. Легкая анатомическая оболочка стопы имеет рельефную подошву для устойчивости без обуви на мокро</w:t>
            </w:r>
            <w:r>
              <w:rPr>
                <w:color w:val="000000"/>
                <w:sz w:val="24"/>
                <w:szCs w:val="22"/>
              </w:rPr>
              <w:t xml:space="preserve">й </w:t>
            </w:r>
            <w:r w:rsidRPr="00840B7A">
              <w:rPr>
                <w:color w:val="000000"/>
                <w:sz w:val="24"/>
                <w:szCs w:val="22"/>
              </w:rPr>
              <w:t>поверхности</w:t>
            </w:r>
            <w:r>
              <w:rPr>
                <w:color w:val="000000"/>
                <w:sz w:val="24"/>
                <w:szCs w:val="22"/>
              </w:rPr>
              <w:t>.</w:t>
            </w:r>
          </w:p>
          <w:p w14:paraId="447AD902" w14:textId="696A4043" w:rsidR="002C1D82" w:rsidRPr="00840B7A" w:rsidRDefault="00A620B0" w:rsidP="005B1DFA">
            <w:pPr>
              <w:jc w:val="both"/>
              <w:rPr>
                <w:color w:val="000000"/>
                <w:sz w:val="24"/>
                <w:szCs w:val="22"/>
              </w:rPr>
            </w:pPr>
            <w:r w:rsidRPr="00840B7A">
              <w:rPr>
                <w:color w:val="000000"/>
                <w:sz w:val="24"/>
                <w:szCs w:val="22"/>
              </w:rPr>
              <w:t>Протез укомплектован набором чехлов, необходимых пациенту на весь срок пользования изделием.</w:t>
            </w:r>
          </w:p>
        </w:tc>
        <w:tc>
          <w:tcPr>
            <w:tcW w:w="529" w:type="pct"/>
          </w:tcPr>
          <w:p w14:paraId="3DB0B4D0" w14:textId="2B9963BB" w:rsidR="002C1D82" w:rsidRPr="009A2A71" w:rsidRDefault="009A2A71" w:rsidP="004309EE">
            <w:pPr>
              <w:autoSpaceDE w:val="0"/>
              <w:autoSpaceDN w:val="0"/>
              <w:adjustRightInd w:val="0"/>
              <w:jc w:val="center"/>
              <w:rPr>
                <w:color w:val="000000"/>
                <w:sz w:val="24"/>
                <w:szCs w:val="22"/>
                <w:lang w:val="en-US"/>
              </w:rPr>
            </w:pPr>
            <w:r>
              <w:rPr>
                <w:color w:val="000000"/>
                <w:sz w:val="24"/>
                <w:szCs w:val="22"/>
                <w:lang w:val="en-US"/>
              </w:rPr>
              <w:t>1</w:t>
            </w:r>
          </w:p>
        </w:tc>
      </w:tr>
    </w:tbl>
    <w:p w14:paraId="5AABF77C" w14:textId="77777777" w:rsidR="00BF2FDD" w:rsidRDefault="009A2A71" w:rsidP="009A2A71">
      <w:pPr>
        <w:keepNext/>
        <w:tabs>
          <w:tab w:val="left" w:pos="1080"/>
        </w:tabs>
        <w:ind w:right="-142"/>
        <w:jc w:val="both"/>
        <w:rPr>
          <w:b/>
          <w:bCs/>
          <w:sz w:val="22"/>
          <w:szCs w:val="22"/>
        </w:rPr>
      </w:pPr>
      <w:r w:rsidRPr="009A2A71">
        <w:rPr>
          <w:b/>
          <w:bCs/>
          <w:sz w:val="22"/>
          <w:szCs w:val="22"/>
        </w:rPr>
        <w:t xml:space="preserve">                                              </w:t>
      </w:r>
    </w:p>
    <w:p w14:paraId="1F812A04" w14:textId="0EBB21BC" w:rsidR="009A2A71" w:rsidRDefault="00BF2FDD" w:rsidP="009A2A71">
      <w:pPr>
        <w:keepNext/>
        <w:tabs>
          <w:tab w:val="left" w:pos="1080"/>
        </w:tabs>
        <w:ind w:right="-142"/>
        <w:jc w:val="both"/>
        <w:rPr>
          <w:b/>
          <w:bCs/>
          <w:sz w:val="22"/>
          <w:szCs w:val="22"/>
        </w:rPr>
      </w:pPr>
      <w:r w:rsidRPr="00BF2FDD">
        <w:rPr>
          <w:b/>
          <w:bCs/>
          <w:sz w:val="22"/>
          <w:szCs w:val="22"/>
        </w:rPr>
        <w:t xml:space="preserve">                                            </w:t>
      </w:r>
      <w:r w:rsidR="009A2A71" w:rsidRPr="00BD4D40">
        <w:rPr>
          <w:b/>
          <w:bCs/>
          <w:sz w:val="22"/>
          <w:szCs w:val="22"/>
        </w:rPr>
        <w:t>Общие требования к качеству и количеству Товара:</w:t>
      </w:r>
      <w:r w:rsidR="009A2A71" w:rsidRPr="00A43958">
        <w:rPr>
          <w:b/>
          <w:bCs/>
          <w:sz w:val="22"/>
          <w:szCs w:val="22"/>
        </w:rPr>
        <w:t xml:space="preserve"> </w:t>
      </w:r>
    </w:p>
    <w:p w14:paraId="39358BEF" w14:textId="77777777" w:rsidR="009A2A71" w:rsidRPr="00A43958" w:rsidRDefault="009A2A71" w:rsidP="009A2A71">
      <w:pPr>
        <w:keepNext/>
        <w:tabs>
          <w:tab w:val="left" w:pos="1080"/>
        </w:tabs>
        <w:ind w:left="-284" w:right="-142"/>
        <w:jc w:val="both"/>
        <w:rPr>
          <w:b/>
          <w:bCs/>
          <w:sz w:val="22"/>
          <w:szCs w:val="22"/>
        </w:rPr>
      </w:pPr>
    </w:p>
    <w:p w14:paraId="5646174E" w14:textId="60CF0A5D" w:rsidR="009A2A71" w:rsidRPr="00BF2FDD" w:rsidRDefault="009A2A71" w:rsidP="00BF2FDD">
      <w:pPr>
        <w:spacing w:after="120"/>
        <w:contextualSpacing/>
        <w:jc w:val="both"/>
        <w:rPr>
          <w:rFonts w:eastAsia="Andale Sans UI"/>
          <w:sz w:val="24"/>
          <w:szCs w:val="24"/>
          <w:lang w:eastAsia="ar-SA"/>
        </w:rPr>
      </w:pPr>
      <w:r w:rsidRPr="00BF2FDD">
        <w:rPr>
          <w:rFonts w:eastAsia="Andale Sans UI"/>
          <w:sz w:val="24"/>
          <w:szCs w:val="24"/>
          <w:lang w:eastAsia="ar-SA"/>
        </w:rPr>
        <w:t xml:space="preserve">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w:t>
      </w:r>
      <w:r w:rsidR="00BF2FDD">
        <w:rPr>
          <w:rFonts w:eastAsia="Andale Sans UI"/>
          <w:sz w:val="24"/>
          <w:szCs w:val="24"/>
          <w:lang w:eastAsia="ar-SA"/>
        </w:rPr>
        <w:t>нижних</w:t>
      </w:r>
      <w:r w:rsidRPr="00BF2FDD">
        <w:rPr>
          <w:rFonts w:eastAsia="Andale Sans UI"/>
          <w:sz w:val="24"/>
          <w:szCs w:val="24"/>
          <w:lang w:eastAsia="ar-SA"/>
        </w:rPr>
        <w:t xml:space="preserve"> конечностей с помощью протезов), должны проводиться с целью устранения или возможно полной компенсации ограничений жизнедеятельности; сохранения индивидуальных особенностей человека и компенсации его утраченных функционально-косметических способностей. Выполнение работ должно предусматривать изготовление приемной гильзы, примерку, пробную носку, подгонку, выбор конструкции (типа и состава) протезов с учетом анатомо-функциональных особенностей, профессионального и социального статуса пользователя, изготовление протезов, подгонку и обучение пострадавшего пользованию протезами с целью восстановления утраченных функций по самообслуживанию, наблюдение, выдачу технического средства реабилитации, сервисное обслуживание и ремонт в период гарантийного срока эксплуатации протезно-ортопедических изделий за счет Исполнителя.</w:t>
      </w:r>
    </w:p>
    <w:p w14:paraId="59F8F01D" w14:textId="77777777" w:rsidR="009A2A71" w:rsidRPr="00BF2FDD" w:rsidRDefault="009A2A71" w:rsidP="00BF2FDD">
      <w:pPr>
        <w:shd w:val="clear" w:color="auto" w:fill="FBFBFB"/>
        <w:jc w:val="both"/>
        <w:outlineLvl w:val="0"/>
        <w:rPr>
          <w:rFonts w:eastAsia="Andale Sans UI"/>
          <w:bCs/>
          <w:sz w:val="24"/>
          <w:szCs w:val="24"/>
          <w:lang w:eastAsia="ar-SA"/>
        </w:rPr>
      </w:pPr>
      <w:r w:rsidRPr="00BF2FDD">
        <w:rPr>
          <w:rFonts w:eastAsia="Andale Sans UI"/>
          <w:sz w:val="24"/>
          <w:szCs w:val="24"/>
          <w:lang w:eastAsia="ar-SA"/>
        </w:rPr>
        <w:lastRenderedPageBreak/>
        <w:t>Изделия протезно-ортопедические должны соответствовать Государственному стандарту Российской Федерации ГОСТ Р 51632 - 2021 "Технические средства реабилитации людей с ограничениями жизнедеятельности. Общие технические требования и методы испытаний", Государственному стандарту Российской Федерации ГОСТ Р 58288 - 2018 "Вспомогательные средства и технологии для людей с ограничениями жизнедеятельности".</w:t>
      </w:r>
    </w:p>
    <w:p w14:paraId="3E206E23" w14:textId="29B8E4F1" w:rsidR="009A2A71" w:rsidRPr="00BF2FDD" w:rsidRDefault="009A2A71" w:rsidP="00BF2FDD">
      <w:pPr>
        <w:jc w:val="both"/>
        <w:rPr>
          <w:rFonts w:eastAsia="Andale Sans UI"/>
          <w:sz w:val="24"/>
          <w:szCs w:val="24"/>
          <w:lang w:eastAsia="ar-SA"/>
        </w:rPr>
      </w:pPr>
      <w:r w:rsidRPr="00BF2FDD">
        <w:rPr>
          <w:rFonts w:eastAsia="Andale Sans UI"/>
          <w:sz w:val="24"/>
          <w:szCs w:val="24"/>
          <w:lang w:eastAsia="ar-SA"/>
        </w:rPr>
        <w:t>Выполнение работ по обесп</w:t>
      </w:r>
      <w:r w:rsidR="00BF2FDD">
        <w:rPr>
          <w:rFonts w:eastAsia="Andale Sans UI"/>
          <w:sz w:val="24"/>
          <w:szCs w:val="24"/>
          <w:lang w:eastAsia="ar-SA"/>
        </w:rPr>
        <w:t xml:space="preserve">ечению </w:t>
      </w:r>
      <w:r w:rsidR="00B06EE9">
        <w:rPr>
          <w:rFonts w:eastAsia="Andale Sans UI"/>
          <w:sz w:val="24"/>
          <w:szCs w:val="24"/>
          <w:lang w:eastAsia="ar-SA"/>
        </w:rPr>
        <w:t xml:space="preserve">протезами </w:t>
      </w:r>
      <w:proofErr w:type="spellStart"/>
      <w:r w:rsidR="00B06EE9">
        <w:rPr>
          <w:rFonts w:eastAsia="Andale Sans UI"/>
          <w:sz w:val="24"/>
          <w:szCs w:val="24"/>
          <w:lang w:eastAsia="ar-SA"/>
        </w:rPr>
        <w:t>нихних</w:t>
      </w:r>
      <w:proofErr w:type="spellEnd"/>
      <w:r w:rsidRPr="00BF2FDD">
        <w:rPr>
          <w:rFonts w:eastAsia="Andale Sans UI"/>
          <w:sz w:val="24"/>
          <w:szCs w:val="24"/>
          <w:lang w:eastAsia="ar-SA"/>
        </w:rPr>
        <w:t xml:space="preserve"> конечностей считаются эффективно исполненными, если у получателя полностью, частично восстановлена опорная и двигательная функции конечности, созданы условия для предупреждения развития деформации, благоприятного течения болезни. Работы по изготовлению протезов должны выполнятся с надлежащим качеством и в установленные сроки.</w:t>
      </w:r>
    </w:p>
    <w:p w14:paraId="7D2E1A3D" w14:textId="77777777" w:rsidR="009A2A71" w:rsidRPr="00BF2FDD" w:rsidRDefault="009A2A71" w:rsidP="00BF2FDD">
      <w:pPr>
        <w:jc w:val="both"/>
        <w:rPr>
          <w:rFonts w:eastAsia="Andale Sans UI"/>
          <w:sz w:val="24"/>
          <w:szCs w:val="24"/>
          <w:lang w:eastAsia="ar-SA"/>
        </w:rPr>
      </w:pPr>
    </w:p>
    <w:p w14:paraId="6CB19B15" w14:textId="77777777" w:rsidR="009A2A71" w:rsidRPr="00BF2FDD" w:rsidRDefault="009A2A71" w:rsidP="00BF2FDD">
      <w:pPr>
        <w:autoSpaceDE w:val="0"/>
        <w:jc w:val="both"/>
        <w:rPr>
          <w:b/>
          <w:sz w:val="24"/>
          <w:szCs w:val="24"/>
        </w:rPr>
      </w:pPr>
      <w:r w:rsidRPr="00BF2FDD">
        <w:rPr>
          <w:b/>
          <w:sz w:val="24"/>
          <w:szCs w:val="24"/>
        </w:rPr>
        <w:t xml:space="preserve">        Требования к</w:t>
      </w:r>
      <w:r w:rsidRPr="00BF2FDD">
        <w:rPr>
          <w:b/>
          <w:i/>
          <w:sz w:val="24"/>
          <w:szCs w:val="24"/>
        </w:rPr>
        <w:t xml:space="preserve"> </w:t>
      </w:r>
      <w:r w:rsidRPr="00BF2FDD">
        <w:rPr>
          <w:b/>
          <w:sz w:val="24"/>
          <w:szCs w:val="24"/>
        </w:rPr>
        <w:t>срокам и (или) объему предоставления гарантии качества работ.</w:t>
      </w:r>
    </w:p>
    <w:p w14:paraId="74975775" w14:textId="77777777" w:rsidR="009A2A71" w:rsidRPr="00BF2FDD" w:rsidRDefault="009A2A71" w:rsidP="00BF2FDD">
      <w:pPr>
        <w:autoSpaceDE w:val="0"/>
        <w:jc w:val="both"/>
        <w:rPr>
          <w:sz w:val="24"/>
          <w:szCs w:val="24"/>
        </w:rPr>
      </w:pPr>
    </w:p>
    <w:p w14:paraId="6D0313D2" w14:textId="7C1636B3" w:rsidR="009A2A71" w:rsidRPr="00BF2FDD" w:rsidRDefault="00BF2FDD" w:rsidP="00BF2FDD">
      <w:pPr>
        <w:widowControl w:val="0"/>
        <w:tabs>
          <w:tab w:val="left" w:pos="3960"/>
        </w:tabs>
        <w:snapToGrid w:val="0"/>
        <w:jc w:val="both"/>
        <w:rPr>
          <w:rFonts w:eastAsia="Calibri"/>
          <w:sz w:val="24"/>
          <w:szCs w:val="24"/>
        </w:rPr>
      </w:pPr>
      <w:r>
        <w:rPr>
          <w:rFonts w:eastAsia="Calibri"/>
          <w:sz w:val="24"/>
          <w:szCs w:val="24"/>
        </w:rPr>
        <w:t>На протезы нижних</w:t>
      </w:r>
      <w:r w:rsidR="009A2A71" w:rsidRPr="00BF2FDD">
        <w:rPr>
          <w:rFonts w:eastAsia="Calibri"/>
          <w:sz w:val="24"/>
          <w:szCs w:val="24"/>
        </w:rPr>
        <w:t xml:space="preserve"> конечностей устанавливается срок предоставления гарантии качества, в течение которого Исполнитель должен производить замену или ремонт изделий бесплатно. Гарантия качества распространяется на все составляющие изделия (результата работ). Срок предоставления гарантии качества выполнения работ по изготовлению протезов верхних конечностей должен составлять не менее 18 (восемнадцать) месяцев со дня выдачи готового изделия застрахованному лицу, получившему повреждение здоровья в результате несчастного случая на производстве и профессионального заболевания.</w:t>
      </w:r>
    </w:p>
    <w:p w14:paraId="2A1C43EB" w14:textId="77777777" w:rsidR="009A2A71" w:rsidRPr="00BF2FDD" w:rsidRDefault="009A2A71" w:rsidP="00BF2FDD">
      <w:pPr>
        <w:widowControl w:val="0"/>
        <w:jc w:val="both"/>
        <w:rPr>
          <w:sz w:val="24"/>
          <w:szCs w:val="24"/>
        </w:rPr>
      </w:pPr>
      <w:r w:rsidRPr="00BF2FDD">
        <w:rPr>
          <w:sz w:val="24"/>
          <w:szCs w:val="24"/>
        </w:rPr>
        <w:t>Срок службы изготовленных протезов должен составлять не менее 3 (Трех) лет,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w:t>
      </w:r>
    </w:p>
    <w:p w14:paraId="1966661D" w14:textId="77777777" w:rsidR="009A2A71" w:rsidRPr="00BF2FDD" w:rsidRDefault="009A2A71" w:rsidP="00BF2FDD">
      <w:pPr>
        <w:tabs>
          <w:tab w:val="left" w:pos="-284"/>
        </w:tabs>
        <w:autoSpaceDE w:val="0"/>
        <w:jc w:val="both"/>
        <w:rPr>
          <w:sz w:val="24"/>
          <w:szCs w:val="24"/>
        </w:rPr>
      </w:pPr>
    </w:p>
    <w:p w14:paraId="086834EA" w14:textId="77777777" w:rsidR="009A2A71" w:rsidRPr="00BF2FDD" w:rsidRDefault="009A2A71" w:rsidP="00BF2FDD">
      <w:pPr>
        <w:jc w:val="both"/>
        <w:rPr>
          <w:rFonts w:eastAsia="Andale Sans UI"/>
          <w:sz w:val="24"/>
          <w:szCs w:val="24"/>
          <w:lang w:eastAsia="ar-SA"/>
        </w:rPr>
      </w:pPr>
    </w:p>
    <w:p w14:paraId="20C2A856" w14:textId="77777777" w:rsidR="009A2A71" w:rsidRPr="00BF2FDD" w:rsidRDefault="009A2A71" w:rsidP="00BF2FDD">
      <w:pPr>
        <w:widowControl w:val="0"/>
        <w:jc w:val="both"/>
        <w:rPr>
          <w:bCs/>
          <w:sz w:val="24"/>
          <w:szCs w:val="24"/>
        </w:rPr>
      </w:pPr>
    </w:p>
    <w:p w14:paraId="545E5F4E" w14:textId="42D889FA" w:rsidR="00297B04" w:rsidRPr="00BF2FDD" w:rsidRDefault="00297B04" w:rsidP="00BF2FDD">
      <w:pPr>
        <w:rPr>
          <w:sz w:val="24"/>
          <w:szCs w:val="24"/>
        </w:rPr>
      </w:pPr>
    </w:p>
    <w:p w14:paraId="08320BC6" w14:textId="77777777" w:rsidR="001E07E3" w:rsidRDefault="001E07E3" w:rsidP="00BF2FDD">
      <w:pP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8"/>
        <w:gridCol w:w="3663"/>
      </w:tblGrid>
      <w:tr w:rsidR="001E07E3" w14:paraId="0D05C9B6" w14:textId="77777777" w:rsidTr="003D0CA5">
        <w:tc>
          <w:tcPr>
            <w:tcW w:w="6379" w:type="dxa"/>
          </w:tcPr>
          <w:p w14:paraId="4E2672F1" w14:textId="07BFFE21" w:rsidR="001E07E3" w:rsidRPr="00BC56EB" w:rsidRDefault="001E07E3" w:rsidP="00BF2FDD">
            <w:pPr>
              <w:rPr>
                <w:sz w:val="28"/>
                <w:szCs w:val="24"/>
              </w:rPr>
            </w:pPr>
          </w:p>
        </w:tc>
        <w:tc>
          <w:tcPr>
            <w:tcW w:w="3816" w:type="dxa"/>
          </w:tcPr>
          <w:p w14:paraId="34146224" w14:textId="115BBF21" w:rsidR="001E07E3" w:rsidRPr="00BC56EB" w:rsidRDefault="001E07E3" w:rsidP="00BF2FDD">
            <w:pPr>
              <w:jc w:val="right"/>
              <w:rPr>
                <w:sz w:val="28"/>
                <w:szCs w:val="24"/>
              </w:rPr>
            </w:pPr>
          </w:p>
        </w:tc>
      </w:tr>
      <w:tr w:rsidR="001E07E3" w14:paraId="58EF7707" w14:textId="77777777" w:rsidTr="003D0CA5">
        <w:tc>
          <w:tcPr>
            <w:tcW w:w="6379" w:type="dxa"/>
          </w:tcPr>
          <w:p w14:paraId="3217FB4C" w14:textId="77777777" w:rsidR="001E07E3" w:rsidRPr="00BC56EB" w:rsidRDefault="001E07E3" w:rsidP="00BF2FDD">
            <w:pPr>
              <w:rPr>
                <w:sz w:val="28"/>
                <w:szCs w:val="24"/>
              </w:rPr>
            </w:pPr>
          </w:p>
        </w:tc>
        <w:tc>
          <w:tcPr>
            <w:tcW w:w="3816" w:type="dxa"/>
          </w:tcPr>
          <w:p w14:paraId="5D106494" w14:textId="77777777" w:rsidR="001E07E3" w:rsidRPr="00BC56EB" w:rsidRDefault="001E07E3" w:rsidP="00BF2FDD">
            <w:pPr>
              <w:rPr>
                <w:sz w:val="28"/>
                <w:szCs w:val="24"/>
              </w:rPr>
            </w:pPr>
          </w:p>
        </w:tc>
      </w:tr>
      <w:tr w:rsidR="00870A1A" w14:paraId="0E46C7EB" w14:textId="77777777" w:rsidTr="003D0CA5">
        <w:tc>
          <w:tcPr>
            <w:tcW w:w="6379" w:type="dxa"/>
          </w:tcPr>
          <w:p w14:paraId="75B62BA5" w14:textId="63AEF865" w:rsidR="00870A1A" w:rsidRPr="003D0CA5" w:rsidRDefault="00870A1A" w:rsidP="00BF2FDD">
            <w:pPr>
              <w:rPr>
                <w:sz w:val="28"/>
                <w:szCs w:val="24"/>
              </w:rPr>
            </w:pPr>
          </w:p>
        </w:tc>
        <w:tc>
          <w:tcPr>
            <w:tcW w:w="3816" w:type="dxa"/>
          </w:tcPr>
          <w:p w14:paraId="68B54C8E" w14:textId="6B84E0BF" w:rsidR="00870A1A" w:rsidRPr="00BC56EB" w:rsidRDefault="00870A1A" w:rsidP="00BF2FDD">
            <w:pPr>
              <w:jc w:val="right"/>
              <w:rPr>
                <w:sz w:val="28"/>
                <w:szCs w:val="24"/>
              </w:rPr>
            </w:pPr>
          </w:p>
        </w:tc>
      </w:tr>
    </w:tbl>
    <w:p w14:paraId="13286CF2" w14:textId="4871D364" w:rsidR="001E07E3" w:rsidRPr="00476029" w:rsidRDefault="001E07E3" w:rsidP="00BF2FDD">
      <w:pPr>
        <w:spacing w:after="200" w:line="276" w:lineRule="auto"/>
        <w:rPr>
          <w:sz w:val="24"/>
          <w:szCs w:val="24"/>
        </w:rPr>
      </w:pPr>
    </w:p>
    <w:sectPr w:rsidR="001E07E3" w:rsidRPr="00476029" w:rsidSect="009A2A71">
      <w:pgSz w:w="11906" w:h="16838"/>
      <w:pgMar w:top="567" w:right="99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79"/>
    <w:rsid w:val="00010BDE"/>
    <w:rsid w:val="000152E0"/>
    <w:rsid w:val="00016B52"/>
    <w:rsid w:val="00051193"/>
    <w:rsid w:val="00064A99"/>
    <w:rsid w:val="00064C79"/>
    <w:rsid w:val="00066462"/>
    <w:rsid w:val="000676D9"/>
    <w:rsid w:val="00067CF8"/>
    <w:rsid w:val="000A0E8C"/>
    <w:rsid w:val="000A144D"/>
    <w:rsid w:val="000A4F66"/>
    <w:rsid w:val="000B7671"/>
    <w:rsid w:val="000D0C22"/>
    <w:rsid w:val="00104F73"/>
    <w:rsid w:val="0013367B"/>
    <w:rsid w:val="00136ADC"/>
    <w:rsid w:val="001403FF"/>
    <w:rsid w:val="00163A8A"/>
    <w:rsid w:val="00180553"/>
    <w:rsid w:val="00185DF4"/>
    <w:rsid w:val="001A41D8"/>
    <w:rsid w:val="001A7DF4"/>
    <w:rsid w:val="001B6878"/>
    <w:rsid w:val="001C2A53"/>
    <w:rsid w:val="001C7DC0"/>
    <w:rsid w:val="001D5D93"/>
    <w:rsid w:val="001E07E3"/>
    <w:rsid w:val="001E571D"/>
    <w:rsid w:val="001F1D0A"/>
    <w:rsid w:val="00206239"/>
    <w:rsid w:val="00207FCF"/>
    <w:rsid w:val="00215877"/>
    <w:rsid w:val="002437CC"/>
    <w:rsid w:val="00260B25"/>
    <w:rsid w:val="00263C35"/>
    <w:rsid w:val="0028710F"/>
    <w:rsid w:val="00293724"/>
    <w:rsid w:val="00297B04"/>
    <w:rsid w:val="002B08AD"/>
    <w:rsid w:val="002B0FD7"/>
    <w:rsid w:val="002B6496"/>
    <w:rsid w:val="002C1D82"/>
    <w:rsid w:val="002F5903"/>
    <w:rsid w:val="003016D1"/>
    <w:rsid w:val="003039F3"/>
    <w:rsid w:val="0030743E"/>
    <w:rsid w:val="00320D65"/>
    <w:rsid w:val="003264E5"/>
    <w:rsid w:val="00341D79"/>
    <w:rsid w:val="00344EA0"/>
    <w:rsid w:val="00362607"/>
    <w:rsid w:val="0038355F"/>
    <w:rsid w:val="00386711"/>
    <w:rsid w:val="00386E73"/>
    <w:rsid w:val="00390B85"/>
    <w:rsid w:val="00393001"/>
    <w:rsid w:val="003A267D"/>
    <w:rsid w:val="003D0CA5"/>
    <w:rsid w:val="004027E1"/>
    <w:rsid w:val="004309EE"/>
    <w:rsid w:val="004568E4"/>
    <w:rsid w:val="00461D66"/>
    <w:rsid w:val="00473A8A"/>
    <w:rsid w:val="00476029"/>
    <w:rsid w:val="004A6E86"/>
    <w:rsid w:val="004B11C9"/>
    <w:rsid w:val="004B1AC5"/>
    <w:rsid w:val="004C2107"/>
    <w:rsid w:val="004E0A07"/>
    <w:rsid w:val="004E4C3A"/>
    <w:rsid w:val="004F73D2"/>
    <w:rsid w:val="005026AC"/>
    <w:rsid w:val="005138DA"/>
    <w:rsid w:val="00534586"/>
    <w:rsid w:val="00543546"/>
    <w:rsid w:val="005506E9"/>
    <w:rsid w:val="00556CC2"/>
    <w:rsid w:val="00571C4F"/>
    <w:rsid w:val="005B1DFA"/>
    <w:rsid w:val="005B2624"/>
    <w:rsid w:val="005B4B94"/>
    <w:rsid w:val="005E66A7"/>
    <w:rsid w:val="00605633"/>
    <w:rsid w:val="00613281"/>
    <w:rsid w:val="0062027E"/>
    <w:rsid w:val="00626EDD"/>
    <w:rsid w:val="00643A15"/>
    <w:rsid w:val="0064521F"/>
    <w:rsid w:val="00647BEE"/>
    <w:rsid w:val="00660EE9"/>
    <w:rsid w:val="00677F00"/>
    <w:rsid w:val="00684756"/>
    <w:rsid w:val="006A5E9B"/>
    <w:rsid w:val="006B306B"/>
    <w:rsid w:val="006C59AB"/>
    <w:rsid w:val="006E2D46"/>
    <w:rsid w:val="006E3EC0"/>
    <w:rsid w:val="00704494"/>
    <w:rsid w:val="00717203"/>
    <w:rsid w:val="0075578E"/>
    <w:rsid w:val="00764303"/>
    <w:rsid w:val="007C0269"/>
    <w:rsid w:val="007C417F"/>
    <w:rsid w:val="007E005A"/>
    <w:rsid w:val="007F7491"/>
    <w:rsid w:val="00802564"/>
    <w:rsid w:val="008107F4"/>
    <w:rsid w:val="00821CE8"/>
    <w:rsid w:val="00825940"/>
    <w:rsid w:val="00840B7A"/>
    <w:rsid w:val="00854926"/>
    <w:rsid w:val="00860200"/>
    <w:rsid w:val="00870A1A"/>
    <w:rsid w:val="0089379A"/>
    <w:rsid w:val="008A2B3F"/>
    <w:rsid w:val="008A2E3A"/>
    <w:rsid w:val="008A5F84"/>
    <w:rsid w:val="008B36E3"/>
    <w:rsid w:val="009465F2"/>
    <w:rsid w:val="0095292C"/>
    <w:rsid w:val="00955F54"/>
    <w:rsid w:val="00984FCC"/>
    <w:rsid w:val="0099139C"/>
    <w:rsid w:val="009A2A71"/>
    <w:rsid w:val="009D4826"/>
    <w:rsid w:val="009D6C72"/>
    <w:rsid w:val="009E5BFA"/>
    <w:rsid w:val="009F24FF"/>
    <w:rsid w:val="00A001B2"/>
    <w:rsid w:val="00A054F7"/>
    <w:rsid w:val="00A06A72"/>
    <w:rsid w:val="00A10B96"/>
    <w:rsid w:val="00A42F90"/>
    <w:rsid w:val="00A55B1B"/>
    <w:rsid w:val="00A620B0"/>
    <w:rsid w:val="00A67AFF"/>
    <w:rsid w:val="00A76B8F"/>
    <w:rsid w:val="00AA0457"/>
    <w:rsid w:val="00AB50ED"/>
    <w:rsid w:val="00AD3A3E"/>
    <w:rsid w:val="00AE6024"/>
    <w:rsid w:val="00B04A06"/>
    <w:rsid w:val="00B06EE9"/>
    <w:rsid w:val="00B57EEA"/>
    <w:rsid w:val="00B86191"/>
    <w:rsid w:val="00B9020A"/>
    <w:rsid w:val="00B92C2B"/>
    <w:rsid w:val="00BA7932"/>
    <w:rsid w:val="00BB4806"/>
    <w:rsid w:val="00BC56EB"/>
    <w:rsid w:val="00BD1E89"/>
    <w:rsid w:val="00BD4F80"/>
    <w:rsid w:val="00BF2FDD"/>
    <w:rsid w:val="00BF788F"/>
    <w:rsid w:val="00C0005E"/>
    <w:rsid w:val="00C00BE3"/>
    <w:rsid w:val="00C07D98"/>
    <w:rsid w:val="00C27CCD"/>
    <w:rsid w:val="00C52295"/>
    <w:rsid w:val="00C53393"/>
    <w:rsid w:val="00C611D5"/>
    <w:rsid w:val="00C6352D"/>
    <w:rsid w:val="00C64236"/>
    <w:rsid w:val="00CC7D5B"/>
    <w:rsid w:val="00D322A4"/>
    <w:rsid w:val="00D37A02"/>
    <w:rsid w:val="00D60A43"/>
    <w:rsid w:val="00DA226E"/>
    <w:rsid w:val="00DD267A"/>
    <w:rsid w:val="00DD38A1"/>
    <w:rsid w:val="00DD4983"/>
    <w:rsid w:val="00DF1E33"/>
    <w:rsid w:val="00DF218D"/>
    <w:rsid w:val="00E159CA"/>
    <w:rsid w:val="00E26B7C"/>
    <w:rsid w:val="00E36568"/>
    <w:rsid w:val="00E72027"/>
    <w:rsid w:val="00E81839"/>
    <w:rsid w:val="00E830BB"/>
    <w:rsid w:val="00E8480D"/>
    <w:rsid w:val="00E90F58"/>
    <w:rsid w:val="00EB20F4"/>
    <w:rsid w:val="00ED0D45"/>
    <w:rsid w:val="00EE1F59"/>
    <w:rsid w:val="00EE6B2A"/>
    <w:rsid w:val="00EE7D96"/>
    <w:rsid w:val="00F01B3E"/>
    <w:rsid w:val="00F05D15"/>
    <w:rsid w:val="00F24762"/>
    <w:rsid w:val="00F26142"/>
    <w:rsid w:val="00F94304"/>
    <w:rsid w:val="00FA698E"/>
    <w:rsid w:val="00FC6958"/>
    <w:rsid w:val="00FF0E8B"/>
    <w:rsid w:val="00FF28B1"/>
    <w:rsid w:val="00FF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32D3"/>
  <w15:docId w15:val="{6C4CF81A-A9AF-4B0A-93DD-98DCDE7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C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64C79"/>
    <w:pPr>
      <w:keepNext/>
      <w:outlineLvl w:val="0"/>
    </w:pPr>
    <w:rPr>
      <w:sz w:val="24"/>
    </w:rPr>
  </w:style>
  <w:style w:type="paragraph" w:styleId="2">
    <w:name w:val="heading 2"/>
    <w:basedOn w:val="a"/>
    <w:next w:val="a"/>
    <w:link w:val="20"/>
    <w:qFormat/>
    <w:rsid w:val="00064C79"/>
    <w:pPr>
      <w:keepNext/>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4C7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64C79"/>
    <w:rPr>
      <w:rFonts w:ascii="Arial" w:eastAsia="Times New Roman" w:hAnsi="Arial" w:cs="Times New Roman"/>
      <w:b/>
      <w:sz w:val="24"/>
      <w:szCs w:val="20"/>
      <w:lang w:eastAsia="ru-RU"/>
    </w:rPr>
  </w:style>
  <w:style w:type="character" w:styleId="a3">
    <w:name w:val="Hyperlink"/>
    <w:rsid w:val="00064C79"/>
    <w:rPr>
      <w:color w:val="0000FF"/>
      <w:u w:val="single"/>
    </w:rPr>
  </w:style>
  <w:style w:type="table" w:styleId="a4">
    <w:name w:val="Table Grid"/>
    <w:basedOn w:val="a1"/>
    <w:uiPriority w:val="59"/>
    <w:rsid w:val="00064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06A72"/>
    <w:rPr>
      <w:rFonts w:ascii="Segoe UI" w:hAnsi="Segoe UI" w:cs="Segoe UI"/>
      <w:sz w:val="18"/>
      <w:szCs w:val="18"/>
    </w:rPr>
  </w:style>
  <w:style w:type="character" w:customStyle="1" w:styleId="a6">
    <w:name w:val="Текст выноски Знак"/>
    <w:basedOn w:val="a0"/>
    <w:link w:val="a5"/>
    <w:uiPriority w:val="99"/>
    <w:semiHidden/>
    <w:rsid w:val="00A06A72"/>
    <w:rPr>
      <w:rFonts w:ascii="Segoe UI" w:eastAsia="Times New Roman" w:hAnsi="Segoe UI" w:cs="Segoe UI"/>
      <w:sz w:val="18"/>
      <w:szCs w:val="18"/>
      <w:lang w:eastAsia="ru-RU"/>
    </w:rPr>
  </w:style>
  <w:style w:type="paragraph" w:styleId="a7">
    <w:name w:val="Normal (Web)"/>
    <w:basedOn w:val="a"/>
    <w:uiPriority w:val="99"/>
    <w:unhideWhenUsed/>
    <w:rsid w:val="00AA0457"/>
    <w:pPr>
      <w:spacing w:before="100" w:beforeAutospacing="1" w:after="100" w:afterAutospacing="1"/>
    </w:pPr>
    <w:rPr>
      <w:sz w:val="24"/>
      <w:szCs w:val="24"/>
    </w:rPr>
  </w:style>
  <w:style w:type="character" w:styleId="a8">
    <w:name w:val="annotation reference"/>
    <w:basedOn w:val="a0"/>
    <w:uiPriority w:val="99"/>
    <w:semiHidden/>
    <w:unhideWhenUsed/>
    <w:rsid w:val="00840B7A"/>
    <w:rPr>
      <w:sz w:val="16"/>
      <w:szCs w:val="16"/>
    </w:rPr>
  </w:style>
  <w:style w:type="paragraph" w:styleId="a9">
    <w:name w:val="annotation text"/>
    <w:basedOn w:val="a"/>
    <w:link w:val="aa"/>
    <w:uiPriority w:val="99"/>
    <w:semiHidden/>
    <w:unhideWhenUsed/>
    <w:rsid w:val="00840B7A"/>
  </w:style>
  <w:style w:type="character" w:customStyle="1" w:styleId="aa">
    <w:name w:val="Текст примечания Знак"/>
    <w:basedOn w:val="a0"/>
    <w:link w:val="a9"/>
    <w:uiPriority w:val="99"/>
    <w:semiHidden/>
    <w:rsid w:val="00840B7A"/>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840B7A"/>
    <w:rPr>
      <w:b/>
      <w:bCs/>
    </w:rPr>
  </w:style>
  <w:style w:type="character" w:customStyle="1" w:styleId="ac">
    <w:name w:val="Тема примечания Знак"/>
    <w:basedOn w:val="aa"/>
    <w:link w:val="ab"/>
    <w:uiPriority w:val="99"/>
    <w:semiHidden/>
    <w:rsid w:val="00840B7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7149">
      <w:bodyDiv w:val="1"/>
      <w:marLeft w:val="0"/>
      <w:marRight w:val="0"/>
      <w:marTop w:val="0"/>
      <w:marBottom w:val="0"/>
      <w:divBdr>
        <w:top w:val="none" w:sz="0" w:space="0" w:color="auto"/>
        <w:left w:val="none" w:sz="0" w:space="0" w:color="auto"/>
        <w:bottom w:val="none" w:sz="0" w:space="0" w:color="auto"/>
        <w:right w:val="none" w:sz="0" w:space="0" w:color="auto"/>
      </w:divBdr>
    </w:div>
    <w:div w:id="676812179">
      <w:bodyDiv w:val="1"/>
      <w:marLeft w:val="0"/>
      <w:marRight w:val="0"/>
      <w:marTop w:val="0"/>
      <w:marBottom w:val="0"/>
      <w:divBdr>
        <w:top w:val="none" w:sz="0" w:space="0" w:color="auto"/>
        <w:left w:val="none" w:sz="0" w:space="0" w:color="auto"/>
        <w:bottom w:val="none" w:sz="0" w:space="0" w:color="auto"/>
        <w:right w:val="none" w:sz="0" w:space="0" w:color="auto"/>
      </w:divBdr>
    </w:div>
    <w:div w:id="857037901">
      <w:bodyDiv w:val="1"/>
      <w:marLeft w:val="0"/>
      <w:marRight w:val="0"/>
      <w:marTop w:val="0"/>
      <w:marBottom w:val="0"/>
      <w:divBdr>
        <w:top w:val="none" w:sz="0" w:space="0" w:color="auto"/>
        <w:left w:val="none" w:sz="0" w:space="0" w:color="auto"/>
        <w:bottom w:val="none" w:sz="0" w:space="0" w:color="auto"/>
        <w:right w:val="none" w:sz="0" w:space="0" w:color="auto"/>
      </w:divBdr>
    </w:div>
    <w:div w:id="859273380">
      <w:bodyDiv w:val="1"/>
      <w:marLeft w:val="0"/>
      <w:marRight w:val="0"/>
      <w:marTop w:val="0"/>
      <w:marBottom w:val="0"/>
      <w:divBdr>
        <w:top w:val="none" w:sz="0" w:space="0" w:color="auto"/>
        <w:left w:val="none" w:sz="0" w:space="0" w:color="auto"/>
        <w:bottom w:val="none" w:sz="0" w:space="0" w:color="auto"/>
        <w:right w:val="none" w:sz="0" w:space="0" w:color="auto"/>
      </w:divBdr>
    </w:div>
    <w:div w:id="1064984726">
      <w:bodyDiv w:val="1"/>
      <w:marLeft w:val="0"/>
      <w:marRight w:val="0"/>
      <w:marTop w:val="0"/>
      <w:marBottom w:val="0"/>
      <w:divBdr>
        <w:top w:val="none" w:sz="0" w:space="0" w:color="auto"/>
        <w:left w:val="none" w:sz="0" w:space="0" w:color="auto"/>
        <w:bottom w:val="none" w:sz="0" w:space="0" w:color="auto"/>
        <w:right w:val="none" w:sz="0" w:space="0" w:color="auto"/>
      </w:divBdr>
    </w:div>
    <w:div w:id="1187789327">
      <w:bodyDiv w:val="1"/>
      <w:marLeft w:val="0"/>
      <w:marRight w:val="0"/>
      <w:marTop w:val="0"/>
      <w:marBottom w:val="0"/>
      <w:divBdr>
        <w:top w:val="none" w:sz="0" w:space="0" w:color="auto"/>
        <w:left w:val="none" w:sz="0" w:space="0" w:color="auto"/>
        <w:bottom w:val="none" w:sz="0" w:space="0" w:color="auto"/>
        <w:right w:val="none" w:sz="0" w:space="0" w:color="auto"/>
      </w:divBdr>
    </w:div>
    <w:div w:id="1365131765">
      <w:bodyDiv w:val="1"/>
      <w:marLeft w:val="0"/>
      <w:marRight w:val="0"/>
      <w:marTop w:val="0"/>
      <w:marBottom w:val="0"/>
      <w:divBdr>
        <w:top w:val="none" w:sz="0" w:space="0" w:color="auto"/>
        <w:left w:val="none" w:sz="0" w:space="0" w:color="auto"/>
        <w:bottom w:val="none" w:sz="0" w:space="0" w:color="auto"/>
        <w:right w:val="none" w:sz="0" w:space="0" w:color="auto"/>
      </w:divBdr>
    </w:div>
    <w:div w:id="1461651038">
      <w:bodyDiv w:val="1"/>
      <w:marLeft w:val="0"/>
      <w:marRight w:val="0"/>
      <w:marTop w:val="0"/>
      <w:marBottom w:val="0"/>
      <w:divBdr>
        <w:top w:val="none" w:sz="0" w:space="0" w:color="auto"/>
        <w:left w:val="none" w:sz="0" w:space="0" w:color="auto"/>
        <w:bottom w:val="none" w:sz="0" w:space="0" w:color="auto"/>
        <w:right w:val="none" w:sz="0" w:space="0" w:color="auto"/>
      </w:divBdr>
    </w:div>
    <w:div w:id="15221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dc:creator>
  <cp:keywords/>
  <dc:description/>
  <cp:lastModifiedBy>Османова Гюльнара Камиловна</cp:lastModifiedBy>
  <cp:revision>6</cp:revision>
  <cp:lastPrinted>2023-12-27T12:20:00Z</cp:lastPrinted>
  <dcterms:created xsi:type="dcterms:W3CDTF">2024-05-27T09:00:00Z</dcterms:created>
  <dcterms:modified xsi:type="dcterms:W3CDTF">2024-06-06T09:55:00Z</dcterms:modified>
</cp:coreProperties>
</file>