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Приложение № 1 </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к извещению об                       осуществлении закупки     </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i/>
          <w:sz w:val="24"/>
          <w:szCs w:val="24"/>
        </w:rPr>
        <w:t xml:space="preserve">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Описание объекта закупки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Indent"/>
        <w:keepNext w:val="true"/>
        <w:keepLines/>
        <w:spacing w:lineRule="auto" w:line="240"/>
        <w:ind w:hanging="0"/>
        <w:rPr>
          <w:sz w:val="24"/>
          <w:szCs w:val="24"/>
        </w:rPr>
      </w:pPr>
      <w:r>
        <w:rPr>
          <w:b/>
          <w:sz w:val="24"/>
          <w:szCs w:val="24"/>
        </w:rPr>
        <w:t>Наименование объекта закупки</w:t>
      </w:r>
      <w:r>
        <w:rPr>
          <w:sz w:val="24"/>
          <w:szCs w:val="24"/>
        </w:rPr>
        <w:t xml:space="preserve"> выполнение работ по изготовлению ортезов (туторов на нижние конечности) в 2025 году.</w:t>
      </w:r>
    </w:p>
    <w:p>
      <w:pPr>
        <w:pStyle w:val="Normal"/>
        <w:keepNext w:val="true"/>
        <w:keepLines/>
        <w:tabs>
          <w:tab w:val="clear" w:pos="708"/>
          <w:tab w:val="left" w:pos="851" w:leader="none"/>
          <w:tab w:val="left" w:pos="993" w:leader="none"/>
        </w:tabs>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 xml:space="preserve">Место выполнения работ: </w:t>
      </w:r>
      <w:r>
        <w:rPr>
          <w:rFonts w:cs="Times New Roman" w:ascii="Times New Roman" w:hAnsi="Times New Roman"/>
          <w:color w:val="000000"/>
          <w:sz w:val="24"/>
          <w:szCs w:val="24"/>
        </w:rPr>
        <w:t>Российская Федерация, по месту нахождения Подрядчика.</w:t>
      </w:r>
    </w:p>
    <w:p>
      <w:pPr>
        <w:pStyle w:val="Normal"/>
        <w:keepNext w:val="true"/>
        <w:keepLines/>
        <w:spacing w:lineRule="auto" w:line="240" w:before="0" w:after="0"/>
        <w:jc w:val="both"/>
        <w:rPr>
          <w:rFonts w:ascii="Times New Roman" w:hAnsi="Times New Roman" w:cs="Times New Roman"/>
          <w:bCs/>
          <w:sz w:val="24"/>
          <w:szCs w:val="24"/>
        </w:rPr>
      </w:pPr>
      <w:r>
        <w:rPr>
          <w:rFonts w:cs="Times New Roman" w:ascii="Times New Roman" w:hAnsi="Times New Roman"/>
          <w:b/>
          <w:bCs/>
          <w:sz w:val="24"/>
          <w:szCs w:val="24"/>
        </w:rPr>
        <w:t xml:space="preserve">Требования к количеству: </w:t>
      </w:r>
      <w:r>
        <w:rPr>
          <w:rFonts w:cs="Times New Roman" w:ascii="Times New Roman" w:hAnsi="Times New Roman"/>
          <w:bCs/>
          <w:sz w:val="24"/>
          <w:szCs w:val="24"/>
        </w:rPr>
        <w:t>в соответствии с частью 24 статьи 22 Федерального закона от 05.04.2013 № 44-ФЗ объем подлежащий выполнению работ невозможно определить.</w:t>
      </w:r>
    </w:p>
    <w:p>
      <w:pPr>
        <w:pStyle w:val="Normal"/>
        <w:keepNext w:val="true"/>
        <w:keepLines/>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Объем выполняемых работ определяется на основании заявок Заказчика в соответствии с потребностью.</w:t>
      </w:r>
    </w:p>
    <w:p>
      <w:pPr>
        <w:pStyle w:val="Normal"/>
        <w:keepNext w:val="true"/>
        <w:keepLines/>
        <w:spacing w:lineRule="auto" w:line="240" w:before="0" w:after="0"/>
        <w:jc w:val="both"/>
        <w:rPr>
          <w:rFonts w:ascii="Times New Roman" w:hAnsi="Times New Roman" w:cs="Times New Roman"/>
          <w:b/>
          <w:b/>
          <w:sz w:val="24"/>
          <w:szCs w:val="24"/>
        </w:rPr>
      </w:pPr>
      <w:r>
        <w:rPr>
          <w:rFonts w:cs="Times New Roman" w:ascii="Times New Roman" w:hAnsi="Times New Roman"/>
          <w:b/>
          <w:bCs/>
          <w:sz w:val="24"/>
          <w:szCs w:val="24"/>
        </w:rPr>
        <w:t>Св</w:t>
      </w:r>
      <w:r>
        <w:rPr>
          <w:rFonts w:cs="Times New Roman" w:ascii="Times New Roman" w:hAnsi="Times New Roman"/>
          <w:b/>
          <w:sz w:val="24"/>
          <w:szCs w:val="24"/>
        </w:rPr>
        <w:t>едения об объекте закупки:</w:t>
      </w:r>
    </w:p>
    <w:tbl>
      <w:tblPr>
        <w:tblW w:w="9480"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420"/>
        <w:gridCol w:w="1275"/>
        <w:gridCol w:w="1561"/>
        <w:gridCol w:w="567"/>
        <w:gridCol w:w="567"/>
        <w:gridCol w:w="1275"/>
        <w:gridCol w:w="3814"/>
      </w:tblGrid>
      <w:tr>
        <w:trPr>
          <w:trHeight w:val="690" w:hRule="atLeast"/>
        </w:trPr>
        <w:tc>
          <w:tcPr>
            <w:tcW w:w="42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п/п</w:t>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t>Наименование изделия</w:t>
            </w:r>
          </w:p>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t>ОКПД2/</w:t>
            </w:r>
          </w:p>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t>КТРУ/</w:t>
            </w:r>
          </w:p>
          <w:p>
            <w:pPr>
              <w:pStyle w:val="Normal"/>
              <w:keepNext w:val="true"/>
              <w:widowControl w:val="fals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bCs/>
                <w:sz w:val="20"/>
                <w:szCs w:val="20"/>
              </w:rPr>
              <w:t xml:space="preserve">КОЗ </w:t>
            </w:r>
          </w:p>
        </w:tc>
        <w:tc>
          <w:tcPr>
            <w:tcW w:w="15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bCs/>
                <w:sz w:val="20"/>
                <w:szCs w:val="20"/>
              </w:rPr>
              <w:t>Номер вида технического средства реабилитации (изделия) и его наименования в соответствии с Классификацией технических средств реабилитации (изделий)</w:t>
            </w:r>
          </w:p>
        </w:tc>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t>Кол-во</w:t>
            </w:r>
          </w:p>
        </w:tc>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t>Ед. изм.</w:t>
            </w:r>
          </w:p>
        </w:tc>
        <w:tc>
          <w:tcPr>
            <w:tcW w:w="508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t>Функциональные, технические и качественные характеристики</w:t>
            </w:r>
          </w:p>
        </w:tc>
      </w:tr>
      <w:tr>
        <w:trPr>
          <w:trHeight w:val="1200" w:hRule="atLeast"/>
        </w:trPr>
        <w:tc>
          <w:tcPr>
            <w:tcW w:w="4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r>
          </w:p>
        </w:tc>
        <w:tc>
          <w:tcPr>
            <w:tcW w:w="15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t>Наименование характеристики</w:t>
            </w:r>
          </w:p>
        </w:tc>
        <w:tc>
          <w:tcPr>
            <w:tcW w:w="3814"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rPr>
              <w:t>Значение характеристики</w:t>
            </w:r>
          </w:p>
        </w:tc>
      </w:tr>
      <w:tr>
        <w:trPr/>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1.</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голеностопный сустав</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32.50.22.124/</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отсутствует/</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01.28.08.09.49</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8-09-49</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голеностопный сустав</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keepNext w:val="true"/>
              <w:widowControl w:val="false"/>
              <w:suppressLineNumbers/>
              <w:tabs>
                <w:tab w:val="clear" w:pos="708"/>
                <w:tab w:val="left" w:pos="851" w:leader="none"/>
                <w:tab w:val="left" w:pos="993" w:leader="none"/>
              </w:tabs>
              <w:spacing w:lineRule="auto"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х</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Основные характеристики</w:t>
            </w:r>
          </w:p>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3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Тутор голеностопный, фиксирующий. Гильза тутора будет изготавливаться из слоистого пластика на основе акриловых смол, из термопласта высокотемпературного и низкотемпературного (тип применяемого материала зависит от индивидуальных особенностей пациента), допускается наличие перфорации для облегчения веса изделия, допускается использование смягчающих элементов, при необходимости тутор усиливается шинами металлическими. Тутор будет обеспечивать надежную фиксацию сегментов и суставов в заданном положении, обеспечение покоя поврежденной конечности, сохраняя подвижность в выше и ниже расположенных относительно приемной гильзы неповрежденных суставах. Тутор будет выполняться с элементами крепления, обеспечивающими надежную фиксацию изделия на пациенте. Изготовление – по индивидуальному слепку, назначение – постоянное.</w:t>
            </w:r>
          </w:p>
        </w:tc>
      </w:tr>
      <w:tr>
        <w:trPr/>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коленный сустав</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32.50.22.124/</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отсутствует/</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01.28.08.09.51</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8-09-51</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коленный сустав</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keepNext w:val="true"/>
              <w:widowControl w:val="false"/>
              <w:suppressLineNumbers/>
              <w:tabs>
                <w:tab w:val="clear" w:pos="708"/>
                <w:tab w:val="left" w:pos="851" w:leader="none"/>
                <w:tab w:val="left" w:pos="993" w:leader="none"/>
              </w:tabs>
              <w:spacing w:lineRule="auto"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х</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Основные характеристики</w:t>
            </w:r>
          </w:p>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3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 xml:space="preserve">Тутор на коленный сустав, фиксирующий. Гильза тутора будет изготавливаться из слоистого пластика на основе акриловых смол, из термопласта высокотемпературного и низкотемпературного, из кожаных и вспененных эластичных материалов с ребрами жесткости (тип применяемого материала зависит от индивидуальных особенностей пациента), допускается наличие перфорации для облегчения веса изделия, допускается использование смягчающих элементов, при необходимости тутор усиливается шинами металлическими. Тутор будет обеспечивать надежную фиксацию сегментов и суставов в заданном положении, обеспечение покоя поврежденной конечности, сохраняя подвижность. Тутор будет выполняться с элементами крепления, обеспечивающими надежную фиксацию изделия на пациенте. Изготовление – по индивидуальному слепку, назначение – постоянное. </w:t>
            </w:r>
          </w:p>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r>
          </w:p>
        </w:tc>
      </w:tr>
      <w:tr>
        <w:trPr/>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тазобедренный сустав</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32.50.22.124/</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отсутствует/</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01.28.08.09.52</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8-09-52</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тазобедренный сустав</w:t>
            </w:r>
          </w:p>
          <w:p>
            <w:pPr>
              <w:pStyle w:val="Normal"/>
              <w:keepNext w:val="true"/>
              <w:widowControl w:val="false"/>
              <w:suppressLineNumbers/>
              <w:tabs>
                <w:tab w:val="clear" w:pos="708"/>
                <w:tab w:val="left" w:pos="851" w:leader="none"/>
                <w:tab w:val="left" w:pos="993" w:leader="none"/>
              </w:tabs>
              <w:spacing w:lineRule="auto"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keepNext w:val="true"/>
              <w:widowControl w:val="false"/>
              <w:suppressLineNumbers/>
              <w:tabs>
                <w:tab w:val="clear" w:pos="708"/>
                <w:tab w:val="left" w:pos="851" w:leader="none"/>
                <w:tab w:val="left" w:pos="993" w:leader="none"/>
              </w:tabs>
              <w:spacing w:lineRule="auto"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х</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Основные характеристики</w:t>
            </w:r>
          </w:p>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3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Тутор на тазобедренный сустав. Тутор будет обеспечивать фиксацию нижней конечности в функционально выгодном. необходимом положении, обусловленном медицинскими показаниями. Тутор будет состоять из гильзы, охватывающей таз и бедро, и крепления. Проксимальная граница тутора будет доходить на тазовой части гильзы: спереди вверху – до нижнего края рёбер, спереди внизу – до паховой складки, сзади внизу – до подъягодичной складки, а дистальная граница – до коленного сустава с захватом мыщелков бедра. Приемная гильза будет изготовлена из низкотемпературных, высокотемпературных термопластов. Допускается использование смягчающих элементов, тутор может быть снабжен вентиляционными отверстиями, в зависимости от потребности получателя. Изготовление по слепку и индивидуальное моделирование по телу пациента, в соответствии с медицинскими показаниями. Назначение – специальное.</w:t>
            </w:r>
          </w:p>
        </w:tc>
      </w:tr>
      <w:tr>
        <w:trPr/>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4.</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косметический на голень</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32.50.22.124/</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hyperlink r:id="rId2" w:tgtFrame="_blank">
              <w:r>
                <w:rPr>
                  <w:rFonts w:eastAsia="Calibri" w:cs="Times New Roman" w:ascii="Times New Roman" w:hAnsi="Times New Roman"/>
                  <w:sz w:val="20"/>
                  <w:szCs w:val="20"/>
                </w:rPr>
                <w:t xml:space="preserve">32.50.22.124-00000001 </w:t>
              </w:r>
            </w:hyperlink>
            <w:r>
              <w:rPr>
                <w:rFonts w:eastAsia="Calibri" w:cs="Times New Roman" w:ascii="Times New Roman" w:hAnsi="Times New Roman"/>
                <w:sz w:val="20"/>
                <w:szCs w:val="20"/>
              </w:rPr>
              <w:t>/</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01.28.08.09.50</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8-09-50</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косметический на голень</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keepNext w:val="true"/>
              <w:widowControl w:val="false"/>
              <w:suppressLineNumbers/>
              <w:tabs>
                <w:tab w:val="clear" w:pos="708"/>
                <w:tab w:val="left" w:pos="851" w:leader="none"/>
                <w:tab w:val="left" w:pos="993" w:leader="none"/>
              </w:tabs>
              <w:spacing w:lineRule="auto"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х</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Основные характеристики*</w:t>
            </w:r>
          </w:p>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3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Тутор на голень, фиксирующий, косметический. Гильза тутора будет изготовлена из слоистого пластика на основе акриловых смол. из термопласта высокотемпературного и низкотемпературного, кожи с шинами (тип применяемого материала зависит от индивидуальных особенностей пациента), допускается наличие перфорации для облегчения веса изделия, допускается использование смягчающих элементов. Тутор   будет обеспечивать покой поврежденного сегмента конечности, сохраняя подвижность в выше и ниже расположенных относительно приемной гильзы неповрежденных суставах. Тутор будет восполнять косметический дефект голени. Тутор будет выполнен с элементами крепления, обеспечивающими надежную фиксацию изделия на пациенте. Изготовление – по индивидуальному слепку, назначение – постоянное.</w:t>
            </w:r>
          </w:p>
        </w:tc>
      </w:tr>
      <w:tr>
        <w:trPr>
          <w:trHeight w:val="4384" w:hRule="atLeast"/>
        </w:trPr>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5.</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всю ногу</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32.50.22.124/</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отсутствует/</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01.28.08.09.54</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8-09-54</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всю ногу</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keepNext w:val="true"/>
              <w:widowControl w:val="false"/>
              <w:suppressLineNumbers/>
              <w:tabs>
                <w:tab w:val="clear" w:pos="708"/>
                <w:tab w:val="left" w:pos="851" w:leader="none"/>
                <w:tab w:val="left" w:pos="993" w:leader="none"/>
              </w:tabs>
              <w:spacing w:lineRule="auto"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х</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Основные характеристики</w:t>
            </w:r>
          </w:p>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3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Тутор на всю ногу, фиксирующий. Гильза тутора будет изготавливаться из слоистого пластика на основе акриловых смол, из термопласта высокотемпературного и низкотемпературного (тип применяемого материала зависит от индивидуальных особенностей пациента), допускается наличие перфорации для облегчения веса изделия, допускается использование смягчающих элементов, при необходимости тутор усиливается шинами металлическими. Тутор будет обеспечивать надежную фиксацию сегментов и суставов в заданном положении, обеспечение покоя поврежденной конечности. Тутор будет выполняться с элементами крепления, обеспечивающими надежную фиксацию изделия на пациенте. Изготовление – по индивидуальному слепку, назначение – постоянное.</w:t>
            </w:r>
          </w:p>
        </w:tc>
      </w:tr>
      <w:tr>
        <w:trPr>
          <w:trHeight w:val="105" w:hRule="atLeast"/>
        </w:trPr>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6.</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голеностопный сустав</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32.50.22.124/</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отсутствует/</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01.29.08.09.49</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8-09-49</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голеностопный сустав</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х</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Основные характеристики</w:t>
            </w:r>
          </w:p>
          <w:p>
            <w:pPr>
              <w:pStyle w:val="Normal"/>
              <w:widowControl w:val="false"/>
              <w:tabs>
                <w:tab w:val="clear" w:pos="708"/>
                <w:tab w:val="left" w:pos="851" w:leader="none"/>
                <w:tab w:val="left" w:pos="993"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3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Тутор голеностопный, фиксирующий. Гильза тутора будет изготавливаться из слоистого пластика на основе акриловых смол, из термопласта высокотемпературного и низкотемпературного (тип применяемого материала зависит от индивидуальных особенностей пациента), допускается наличие перфорации для облегчения веса изделия, допускается использование смягчающих элементов, при необходимости тутор усиливается шинами металлическими. Тутор будет обеспечивать надежную фиксацию сегментов и суставов в заданном положении, обеспечение покоя поврежденной конечности, сохраняя подвижность в выше и ниже расположенных относительно приемной гильзы неповрежденных суставах. Тутор будет выполняться с элементами крепления, обеспечивающими надежную фиксацию изделия на пациенте. Изготовление – по индивидуальному слепку, назначение – постоянное.</w:t>
            </w:r>
          </w:p>
        </w:tc>
      </w:tr>
      <w:tr>
        <w:trPr>
          <w:trHeight w:val="110" w:hRule="atLeast"/>
        </w:trPr>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7.</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коленный сустав</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32.50.22.124/</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отсутствует/</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01.29.08.09.51</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8-09-51</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Тутор на коленный сустав</w:t>
            </w:r>
          </w:p>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х</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Основные характеристики</w:t>
            </w:r>
          </w:p>
          <w:p>
            <w:pPr>
              <w:pStyle w:val="Normal"/>
              <w:widowControl w:val="false"/>
              <w:tabs>
                <w:tab w:val="clear" w:pos="708"/>
                <w:tab w:val="left" w:pos="851" w:leader="none"/>
                <w:tab w:val="left" w:pos="993"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3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 w:val="left" w:pos="993" w:leader="none"/>
              </w:tabs>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Тутор на коленный сустав, фиксирующий. Гильза тутора будет изготавливаться из слоистого пластика на основе акриловых смол, из термопласта высокотемпературного и низкотемпературного, из кожаных и вспененных эластичных материалов с ребрами жесткости (тип применяемого материала зависит от индивидуальных особенностей пациента), допускается наличие перфорации для облегчения веса изделия, допускается использование смягчающих элементов, при необходимости тутор усиливается шинами металлическими. Тутор будет обеспечивать надежную фиксацию сегментов и суставов в заданном положении, обеспечение покоя поврежденной конечности, сохраняя подвижность. Тутор будет выполняться с элементами крепления, обеспечивающими надежную фиксацию изделия на пациенте. Изготовление – по индивидуальному слепку, назначение – постоянное.</w:t>
            </w:r>
          </w:p>
        </w:tc>
      </w:tr>
    </w:tbl>
    <w:p>
      <w:pPr>
        <w:pStyle w:val="Normal"/>
        <w:widowControl w:val="false"/>
        <w:spacing w:lineRule="auto" w:line="240" w:before="0" w:after="0"/>
        <w:contextualSpacing/>
        <w:jc w:val="both"/>
        <w:rPr>
          <w:rFonts w:ascii="Times New Roman" w:hAnsi="Times New Roman" w:eastAsia="Calibri" w:cs="Times New Roman"/>
          <w:i/>
          <w:i/>
          <w:sz w:val="20"/>
          <w:szCs w:val="20"/>
        </w:rPr>
      </w:pPr>
      <w:r>
        <w:rPr>
          <w:rFonts w:eastAsia="Calibri" w:cs="Times New Roman" w:ascii="Times New Roman" w:hAnsi="Times New Roman"/>
          <w:i/>
          <w:sz w:val="20"/>
          <w:szCs w:val="20"/>
        </w:rPr>
        <w:t>*Обоснование включения дополнительной информации в сведения о товаре, работе, услуге: в соответствии с требованиями п.1 ч. 1 ст.33 Закона № 44- 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связи с тем, что характеристики в КТРУ отсутствуют, что не позволяют точно определить качественные, функциональные и технические характеристики Изделий, необходимо в описание объекта закупки указать дополнительную информацию исходя из характеристик, которым должны отвечать Изделия.</w:t>
      </w:r>
    </w:p>
    <w:p>
      <w:pPr>
        <w:pStyle w:val="Normal"/>
        <w:spacing w:lineRule="auto" w:line="240" w:before="0" w:after="0"/>
        <w:contextualSpacing/>
        <w:jc w:val="both"/>
        <w:rPr>
          <w:rFonts w:ascii="Times New Roman" w:hAnsi="Times New Roman" w:eastAsia="Calibri" w:cs="Times New Roman"/>
          <w:iCs/>
          <w:sz w:val="20"/>
          <w:szCs w:val="20"/>
          <w:lang w:eastAsia="ar-SA"/>
        </w:rPr>
      </w:pPr>
      <w:r>
        <w:rPr>
          <w:rFonts w:eastAsia="Calibri" w:cs="Times New Roman" w:ascii="Times New Roman" w:hAnsi="Times New Roman"/>
          <w:iCs/>
          <w:sz w:val="20"/>
          <w:szCs w:val="20"/>
          <w:lang w:eastAsia="ar-SA"/>
        </w:rPr>
      </w:r>
    </w:p>
    <w:p>
      <w:pPr>
        <w:pStyle w:val="Normal"/>
        <w:keepNext w:val="true"/>
        <w:keepLines/>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Требования к качеству.</w:t>
      </w:r>
    </w:p>
    <w:p>
      <w:pPr>
        <w:pStyle w:val="Normal"/>
        <w:keepNext w:val="true"/>
        <w:keepLine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Качество изготавливаемых Изделий должно соответствовать государственным стандартам (ГОСТ), действующим на территории Российской Федерации, в том числе:</w:t>
      </w:r>
    </w:p>
    <w:p>
      <w:pPr>
        <w:pStyle w:val="Normal"/>
        <w:keepNext w:val="true"/>
        <w:keepLines/>
        <w:numPr>
          <w:ilvl w:val="0"/>
          <w:numId w:val="1"/>
        </w:numPr>
        <w:tabs>
          <w:tab w:val="clear" w:pos="708"/>
          <w:tab w:val="left" w:pos="0" w:leader="none"/>
          <w:tab w:val="left" w:pos="851" w:leader="none"/>
          <w:tab w:val="left" w:pos="993" w:leader="none"/>
        </w:tabs>
        <w:suppressAutoHyphens w:val="tru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ГОСТ Р 51632-2021 Национальный стандарт Российской Федерации. Технические средства реабилитации людей с ограничени</w:t>
      </w:r>
      <w:bookmarkStart w:id="0" w:name="_GoBack"/>
      <w:bookmarkEnd w:id="0"/>
      <w:r>
        <w:rPr>
          <w:rFonts w:cs="Times New Roman" w:ascii="Times New Roman" w:hAnsi="Times New Roman"/>
          <w:sz w:val="24"/>
          <w:szCs w:val="24"/>
        </w:rPr>
        <w:t>ями жизнедеятельности. Общие технические требования и методы испытаний;</w:t>
      </w:r>
    </w:p>
    <w:p>
      <w:pPr>
        <w:pStyle w:val="Normal"/>
        <w:keepNext w:val="true"/>
        <w:keepLines/>
        <w:numPr>
          <w:ilvl w:val="0"/>
          <w:numId w:val="1"/>
        </w:numPr>
        <w:tabs>
          <w:tab w:val="clear" w:pos="708"/>
          <w:tab w:val="left" w:pos="0" w:leader="none"/>
          <w:tab w:val="left" w:pos="851" w:leader="none"/>
          <w:tab w:val="left" w:pos="993" w:leader="none"/>
        </w:tabs>
        <w:suppressAutoHyphens w:val="tru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lang w:eastAsia="zh-CN"/>
        </w:rPr>
        <w:t xml:space="preserve">ГОСТ Р ИСО 9999-2019 </w:t>
      </w:r>
      <w:r>
        <w:rPr>
          <w:rFonts w:cs="Times New Roman" w:ascii="Times New Roman" w:hAnsi="Times New Roman"/>
          <w:sz w:val="24"/>
          <w:szCs w:val="24"/>
        </w:rPr>
        <w:t xml:space="preserve">Национальный стандарт Российской Федерации. </w:t>
      </w:r>
      <w:r>
        <w:rPr>
          <w:rFonts w:cs="Times New Roman" w:ascii="Times New Roman" w:hAnsi="Times New Roman"/>
          <w:sz w:val="24"/>
          <w:szCs w:val="24"/>
          <w:lang w:eastAsia="zh-CN"/>
        </w:rPr>
        <w:t>Вспомогательные средства для людей с ограничениями жизнедеятельности. Классификация и терминология;</w:t>
      </w:r>
    </w:p>
    <w:p>
      <w:pPr>
        <w:pStyle w:val="Normal"/>
        <w:keepNext w:val="true"/>
        <w:keepLines/>
        <w:numPr>
          <w:ilvl w:val="0"/>
          <w:numId w:val="1"/>
        </w:numPr>
        <w:tabs>
          <w:tab w:val="clear" w:pos="708"/>
          <w:tab w:val="left" w:pos="0" w:leader="none"/>
          <w:tab w:val="left" w:pos="851" w:leader="none"/>
          <w:tab w:val="left" w:pos="993" w:leader="none"/>
        </w:tabs>
        <w:suppressAutoHyphens w:val="tru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lang w:eastAsia="zh-CN"/>
        </w:rPr>
        <w:t>ГОСТ Р 57765-2021 Национальный стандарт Российской Федерации. Изделия протезно-ортопедические. Общие технические требования;</w:t>
      </w:r>
      <w:r>
        <w:rPr>
          <w:rFonts w:cs="Times New Roman" w:ascii="Times New Roman" w:hAnsi="Times New Roman"/>
          <w:sz w:val="24"/>
          <w:szCs w:val="24"/>
          <w:lang w:eastAsia="ar-SA"/>
        </w:rPr>
        <w:t xml:space="preserve">  </w:t>
      </w:r>
    </w:p>
    <w:p>
      <w:pPr>
        <w:pStyle w:val="Normal"/>
        <w:keepNext w:val="true"/>
        <w:keepLines/>
        <w:numPr>
          <w:ilvl w:val="0"/>
          <w:numId w:val="1"/>
        </w:numPr>
        <w:tabs>
          <w:tab w:val="clear" w:pos="708"/>
          <w:tab w:val="left" w:pos="0" w:leader="none"/>
          <w:tab w:val="left" w:pos="851" w:leader="none"/>
          <w:tab w:val="left" w:pos="993" w:leader="none"/>
        </w:tabs>
        <w:suppressAutoHyphens w:val="true"/>
        <w:spacing w:lineRule="auto" w:line="240" w:before="0" w:after="0"/>
        <w:ind w:left="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ГОСТ Р 56137-2021. Национальный стандарт Российской Федерации. Протезирование и ортезирование. Контроль качества протезов и ортезов верхних и нижних конечностей с индивидуальными параметрами изготовления;</w:t>
      </w:r>
    </w:p>
    <w:p>
      <w:pPr>
        <w:pStyle w:val="Normal"/>
        <w:keepNext w:val="true"/>
        <w:keepLines/>
        <w:tabs>
          <w:tab w:val="clear" w:pos="708"/>
          <w:tab w:val="left" w:pos="851" w:leader="none"/>
          <w:tab w:val="left" w:pos="993" w:leader="none"/>
        </w:tabs>
        <w:spacing w:lineRule="auto" w:line="240" w:before="0" w:after="0"/>
        <w:jc w:val="both"/>
        <w:rPr>
          <w:rFonts w:ascii="Times New Roman" w:hAnsi="Times New Roman" w:cs="Times New Roman"/>
          <w:b/>
          <w:b/>
          <w:sz w:val="24"/>
          <w:szCs w:val="24"/>
          <w:lang w:eastAsia="zh-CN"/>
        </w:rPr>
      </w:pPr>
      <w:r>
        <w:rPr>
          <w:rFonts w:cs="Times New Roman" w:ascii="Times New Roman" w:hAnsi="Times New Roman"/>
          <w:b/>
          <w:sz w:val="24"/>
          <w:szCs w:val="24"/>
        </w:rPr>
        <w:t>Выполнение работ по изготовлению Изделий включает:</w:t>
      </w:r>
    </w:p>
    <w:p>
      <w:pPr>
        <w:pStyle w:val="Normal"/>
        <w:keepNext w:val="true"/>
        <w:keepLine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прием, осмотр, обмеры Получателя и примерку/подгонку Изделия осуществляют соответствующие специалисты; </w:t>
      </w:r>
    </w:p>
    <w:p>
      <w:pPr>
        <w:pStyle w:val="Normal"/>
        <w:keepNext w:val="true"/>
        <w:keepLines/>
        <w:spacing w:lineRule="auto" w:line="240" w:before="0" w:after="0"/>
        <w:rPr>
          <w:rFonts w:ascii="Times New Roman" w:hAnsi="Times New Roman" w:cs="Times New Roman"/>
          <w:sz w:val="24"/>
          <w:szCs w:val="24"/>
        </w:rPr>
      </w:pPr>
      <w:r>
        <w:rPr>
          <w:rFonts w:cs="Times New Roman" w:ascii="Times New Roman" w:hAnsi="Times New Roman"/>
          <w:sz w:val="24"/>
          <w:szCs w:val="24"/>
        </w:rPr>
        <w:t>- индивидуальное изготовление Изделия;</w:t>
      </w:r>
    </w:p>
    <w:p>
      <w:pPr>
        <w:pStyle w:val="Normal"/>
        <w:keepNext w:val="true"/>
        <w:keepLine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передачу Изделия Получателю; </w:t>
      </w:r>
    </w:p>
    <w:p>
      <w:pPr>
        <w:pStyle w:val="Normal"/>
        <w:keepNext w:val="true"/>
        <w:keepLine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ремонт или замену Изделия в период гарантийного срока эксплуатации Изделия за счет Подрядчика. Подрядчик должен обеспечить возможность приемки изделия на гарантийный ремонт по фактическому месту проживания Получателя с последующей доставкой Изделия до получателя по указанному адресу с подъемом на этаж;</w:t>
      </w:r>
    </w:p>
    <w:p>
      <w:pPr>
        <w:pStyle w:val="Normal"/>
        <w:keepNext w:val="true"/>
        <w:keepLine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Место приема, осмотра, снятия мерок, примерки/подгонки и получения Изделия осуществляется по месту проживания Получателя, либо в пунктах приема (г. Смоленск, Смоленская область).</w:t>
      </w:r>
    </w:p>
    <w:p>
      <w:pPr>
        <w:pStyle w:val="Normal"/>
        <w:keepNext w:val="true"/>
        <w:keepLines/>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Требования к гарантийному сроку товаров, выполнению работ, оказанию услуг и (или) объему предоставления гарантий их качества:</w:t>
      </w:r>
    </w:p>
    <w:p>
      <w:pPr>
        <w:pStyle w:val="Normal"/>
        <w:widowControl w:val="false"/>
        <w:tabs>
          <w:tab w:val="clear" w:pos="708"/>
          <w:tab w:val="left" w:pos="851" w:leader="none"/>
          <w:tab w:val="left" w:pos="993" w:leader="none"/>
        </w:tabs>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Гарантийный срок - 7 месяцев с даты подписания Получателем Акта приема-передачи изделия Получателю.</w:t>
      </w:r>
    </w:p>
    <w:p>
      <w:pPr>
        <w:pStyle w:val="Normal"/>
        <w:ind w:firstLine="567"/>
        <w:jc w:val="both"/>
        <w:rPr/>
      </w:pPr>
      <w:r>
        <w:rPr/>
      </w:r>
    </w:p>
    <w:p>
      <w:pPr>
        <w:pStyle w:val="Normal"/>
        <w:widowControl w:val="false"/>
        <w:spacing w:lineRule="auto" w:line="240" w:before="0" w:after="0"/>
        <w:jc w:val="center"/>
        <w:rPr>
          <w:rFonts w:ascii="Times New Roman" w:hAnsi="Times New Roman" w:cs="Times New Roman"/>
          <w:b/>
          <w:b/>
          <w:sz w:val="24"/>
          <w:szCs w:val="24"/>
        </w:rPr>
      </w:pPr>
      <w:r>
        <w:rPr/>
      </w:r>
    </w:p>
    <w:sectPr>
      <w:type w:val="nextPage"/>
      <w:pgSz w:w="11906" w:h="16838"/>
      <w:pgMar w:left="1701" w:right="707" w:gutter="0" w:header="0" w:top="568"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039"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12b9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212b9d"/>
    <w:rPr>
      <w:rFonts w:ascii="Segoe UI" w:hAnsi="Segoe UI" w:cs="Segoe UI"/>
      <w:sz w:val="18"/>
      <w:szCs w:val="18"/>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WenQuanYi Zen Hei Shar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lang w:val="zxx" w:eastAsia="zxx" w:bidi="zxx"/>
    </w:rPr>
  </w:style>
  <w:style w:type="paragraph" w:styleId="NoSpacing">
    <w:name w:val="No Spacing"/>
    <w:uiPriority w:val="1"/>
    <w:qFormat/>
    <w:rsid w:val="00212b9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alloonText">
    <w:name w:val="Balloon Text"/>
    <w:basedOn w:val="Normal"/>
    <w:link w:val="Style14"/>
    <w:uiPriority w:val="99"/>
    <w:semiHidden/>
    <w:unhideWhenUsed/>
    <w:qFormat/>
    <w:rsid w:val="00212b9d"/>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e2168d"/>
    <w:pPr>
      <w:spacing w:lineRule="auto" w:line="240" w:beforeAutospacing="1" w:afterAutospacing="1"/>
    </w:pPr>
    <w:rPr>
      <w:rFonts w:ascii="Times New Roman" w:hAnsi="Times New Roman" w:eastAsia="Times New Roman" w:cs="Times New Roman"/>
      <w:sz w:val="24"/>
      <w:szCs w:val="24"/>
      <w:lang w:eastAsia="ru-RU"/>
    </w:rPr>
  </w:style>
  <w:style w:type="paragraph" w:styleId="Normal1" w:customStyle="1">
    <w:name w:val="Normal1"/>
    <w:qFormat/>
    <w:rsid w:val="00d461f9"/>
    <w:pPr>
      <w:widowControl/>
      <w:suppressAutoHyphens w:val="true"/>
      <w:bidi w:val="0"/>
      <w:spacing w:lineRule="auto" w:line="240" w:before="0" w:after="0"/>
      <w:ind w:firstLine="567"/>
      <w:jc w:val="both"/>
    </w:pPr>
    <w:rPr>
      <w:rFonts w:ascii="Times New Roman" w:hAnsi="Times New Roman" w:eastAsia="Times New Roman" w:cs="Times New Roman"/>
      <w:color w:val="auto"/>
      <w:kern w:val="0"/>
      <w:sz w:val="24"/>
      <w:szCs w:val="24"/>
      <w:lang w:eastAsia="ru-RU" w:val="ru-RU" w:bidi="ar-SA"/>
    </w:rPr>
  </w:style>
  <w:style w:type="paragraph" w:styleId="1" w:customStyle="1">
    <w:name w:val="Абзац списка1"/>
    <w:basedOn w:val="Normal1"/>
    <w:uiPriority w:val="99"/>
    <w:qFormat/>
    <w:rsid w:val="00550e6a"/>
    <w:pPr>
      <w:ind w:left="708" w:hanging="0"/>
    </w:pPr>
    <w:rPr/>
  </w:style>
  <w:style w:type="paragraph" w:styleId="NormalIndent">
    <w:name w:val="Normal Indent"/>
    <w:basedOn w:val="Normal"/>
    <w:qFormat/>
    <w:rsid w:val="009f09e5"/>
    <w:pPr>
      <w:spacing w:lineRule="auto" w:line="360" w:before="0" w:after="0"/>
      <w:ind w:firstLine="624"/>
      <w:jc w:val="both"/>
    </w:pPr>
    <w:rPr>
      <w:rFonts w:ascii="Times New Roman" w:hAnsi="Times New Roman" w:eastAsia="Times New Roman" w:cs="Times New Roman"/>
      <w:sz w:val="28"/>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upki.gov.ru/epz/ktru/ktruCard/ktru-description.html?itemId=37087&amp;backUr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LibreOffice/7.3.7.2$Linux_X86_64 LibreOffice_project/e114eadc50a9ff8d8c8a0567d6da8f454beeb84f</Application>
  <AppVersion>15.0000</AppVersion>
  <Pages>4</Pages>
  <Words>1141</Words>
  <Characters>8726</Characters>
  <CharactersWithSpaces>10238</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2024-10-22T13:17:00Z</dcterms:created>
  <dc:creator>Булыкина Анна Александровна</dc:creator>
  <dc:description/>
  <dc:language>ru-RU</dc:language>
  <cp:lastModifiedBy>Булыкина Анна Александровна</cp:lastModifiedBy>
  <cp:lastPrinted>2024-10-01T08:50:00Z</cp:lastPrinted>
  <dcterms:modified xsi:type="dcterms:W3CDTF">2024-10-23T09:36:00Z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