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5"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Pr>
          <w:rFonts w:ascii="Times New Roman" w:hAnsi="Times New Roman" w:cs="Times New Roman"/>
          <w:b/>
          <w:color w:val="000000"/>
        </w:rPr>
        <w:t>ы</w:t>
      </w:r>
      <w:r w:rsidRPr="00014490">
        <w:rPr>
          <w:rFonts w:ascii="Times New Roman" w:hAnsi="Times New Roman" w:cs="Times New Roman"/>
          <w:b/>
          <w:color w:val="000000"/>
        </w:rPr>
        <w:t xml:space="preserve">х нужд» </w:t>
      </w:r>
    </w:p>
    <w:p w:rsidR="00F3471F" w:rsidRDefault="00403FA4" w:rsidP="00F3471F">
      <w:pPr>
        <w:spacing w:after="0" w:line="240" w:lineRule="auto"/>
        <w:jc w:val="center"/>
        <w:rPr>
          <w:rFonts w:ascii="Times New Roman" w:hAnsi="Times New Roman" w:cs="Times New Roman"/>
          <w:b/>
          <w:color w:val="000000"/>
        </w:rPr>
      </w:pPr>
      <w:r>
        <w:rPr>
          <w:rFonts w:ascii="Times New Roman" w:hAnsi="Times New Roman" w:cs="Times New Roman"/>
          <w:b/>
          <w:color w:val="000000"/>
        </w:rPr>
        <w:t>ЭА</w:t>
      </w:r>
      <w:r w:rsidR="00C13A8D" w:rsidRPr="00014490">
        <w:rPr>
          <w:rFonts w:ascii="Times New Roman" w:hAnsi="Times New Roman" w:cs="Times New Roman"/>
          <w:b/>
          <w:color w:val="000000"/>
        </w:rPr>
        <w:t>.</w:t>
      </w:r>
      <w:r w:rsidR="00046912">
        <w:rPr>
          <w:rFonts w:ascii="Times New Roman" w:hAnsi="Times New Roman" w:cs="Times New Roman"/>
          <w:b/>
          <w:color w:val="000000"/>
        </w:rPr>
        <w:t xml:space="preserve"> </w:t>
      </w:r>
      <w:r w:rsidR="00576717">
        <w:rPr>
          <w:rFonts w:ascii="Times New Roman" w:hAnsi="Times New Roman" w:cs="Times New Roman"/>
          <w:b/>
          <w:color w:val="000000"/>
        </w:rPr>
        <w:t>9</w:t>
      </w:r>
      <w:r w:rsidR="000B38B4">
        <w:rPr>
          <w:rFonts w:ascii="Times New Roman" w:hAnsi="Times New Roman" w:cs="Times New Roman"/>
          <w:b/>
          <w:color w:val="000000"/>
        </w:rPr>
        <w:t>4</w:t>
      </w:r>
      <w:r w:rsidR="00560707" w:rsidRPr="00014490">
        <w:rPr>
          <w:rFonts w:ascii="Times New Roman" w:hAnsi="Times New Roman" w:cs="Times New Roman"/>
          <w:b/>
          <w:color w:val="000000"/>
        </w:rPr>
        <w:t>-2</w:t>
      </w:r>
      <w:r w:rsidR="00046912">
        <w:rPr>
          <w:rFonts w:ascii="Times New Roman" w:hAnsi="Times New Roman" w:cs="Times New Roman"/>
          <w:b/>
          <w:color w:val="000000"/>
        </w:rPr>
        <w:t>4</w:t>
      </w:r>
    </w:p>
    <w:p w:rsidR="000B38B4" w:rsidRPr="000B38B4" w:rsidRDefault="000B38B4" w:rsidP="00F3471F">
      <w:pPr>
        <w:spacing w:after="0" w:line="240" w:lineRule="auto"/>
        <w:jc w:val="center"/>
        <w:rPr>
          <w:rFonts w:ascii="Times New Roman" w:hAnsi="Times New Roman" w:cs="Times New Roman"/>
          <w:b/>
          <w:color w:val="000000"/>
        </w:rPr>
      </w:pPr>
    </w:p>
    <w:p w:rsidR="000B38B4" w:rsidRPr="000B38B4" w:rsidRDefault="000B38B4" w:rsidP="000B38B4">
      <w:pPr>
        <w:jc w:val="center"/>
        <w:rPr>
          <w:rFonts w:ascii="Times New Roman" w:hAnsi="Times New Roman"/>
          <w:b/>
          <w:bCs/>
          <w:kern w:val="2"/>
        </w:rPr>
      </w:pPr>
      <w:r w:rsidRPr="000B38B4">
        <w:rPr>
          <w:rFonts w:ascii="Times New Roman" w:hAnsi="Times New Roman"/>
          <w:b/>
          <w:bCs/>
        </w:rPr>
        <w:t xml:space="preserve">Поставка технических средств реабилитации </w:t>
      </w:r>
      <w:proofErr w:type="spellStart"/>
      <w:r w:rsidRPr="000B38B4">
        <w:rPr>
          <w:rFonts w:ascii="Times New Roman" w:hAnsi="Times New Roman"/>
          <w:b/>
          <w:bCs/>
        </w:rPr>
        <w:t>видеоувеличителей</w:t>
      </w:r>
      <w:proofErr w:type="spellEnd"/>
      <w:r w:rsidRPr="000B38B4">
        <w:rPr>
          <w:rFonts w:ascii="Times New Roman" w:hAnsi="Times New Roman"/>
          <w:b/>
          <w:bCs/>
        </w:rPr>
        <w:t xml:space="preserve"> (электронных ручных </w:t>
      </w:r>
      <w:proofErr w:type="spellStart"/>
      <w:r w:rsidRPr="000B38B4">
        <w:rPr>
          <w:rFonts w:ascii="Times New Roman" w:hAnsi="Times New Roman"/>
          <w:b/>
          <w:bCs/>
        </w:rPr>
        <w:t>видеоувеличителей</w:t>
      </w:r>
      <w:proofErr w:type="spellEnd"/>
      <w:r w:rsidRPr="000B38B4">
        <w:rPr>
          <w:rFonts w:ascii="Times New Roman" w:hAnsi="Times New Roman"/>
          <w:b/>
          <w:bCs/>
        </w:rPr>
        <w:t>) для обеспечения ими в 2025 году</w:t>
      </w:r>
    </w:p>
    <w:p w:rsidR="000B38B4" w:rsidRPr="000B38B4" w:rsidRDefault="000B38B4" w:rsidP="000B38B4">
      <w:pPr>
        <w:pStyle w:val="ConsPlusNormal"/>
        <w:jc w:val="both"/>
        <w:rPr>
          <w:sz w:val="22"/>
          <w:szCs w:val="22"/>
        </w:rPr>
      </w:pPr>
    </w:p>
    <w:tbl>
      <w:tblPr>
        <w:tblW w:w="10107" w:type="dxa"/>
        <w:tblInd w:w="421" w:type="dxa"/>
        <w:tblLayout w:type="fixed"/>
        <w:tblCellMar>
          <w:top w:w="102" w:type="dxa"/>
          <w:left w:w="62" w:type="dxa"/>
          <w:bottom w:w="102" w:type="dxa"/>
          <w:right w:w="62" w:type="dxa"/>
        </w:tblCellMar>
        <w:tblLook w:val="0000" w:firstRow="0" w:lastRow="0" w:firstColumn="0" w:lastColumn="0" w:noHBand="0" w:noVBand="0"/>
      </w:tblPr>
      <w:tblGrid>
        <w:gridCol w:w="2332"/>
        <w:gridCol w:w="7775"/>
      </w:tblGrid>
      <w:tr w:rsidR="000B38B4" w:rsidRPr="000B38B4" w:rsidTr="00CD1886">
        <w:trPr>
          <w:trHeight w:val="586"/>
        </w:trPr>
        <w:tc>
          <w:tcPr>
            <w:tcW w:w="2332" w:type="dxa"/>
            <w:tcBorders>
              <w:top w:val="single" w:sz="4" w:space="0" w:color="auto"/>
              <w:left w:val="single" w:sz="4" w:space="0" w:color="auto"/>
              <w:bottom w:val="single" w:sz="4" w:space="0" w:color="auto"/>
              <w:right w:val="single" w:sz="4" w:space="0" w:color="auto"/>
            </w:tcBorders>
          </w:tcPr>
          <w:p w:rsidR="000B38B4" w:rsidRPr="000B38B4" w:rsidRDefault="000B38B4" w:rsidP="009433D7">
            <w:pPr>
              <w:pStyle w:val="ConsPlusNormal"/>
              <w:jc w:val="center"/>
              <w:rPr>
                <w:sz w:val="22"/>
                <w:szCs w:val="22"/>
              </w:rPr>
            </w:pPr>
            <w:bookmarkStart w:id="0" w:name="_GoBack"/>
            <w:bookmarkEnd w:id="0"/>
            <w:r w:rsidRPr="000B38B4">
              <w:rPr>
                <w:sz w:val="22"/>
                <w:szCs w:val="22"/>
              </w:rPr>
              <w:t xml:space="preserve">Наименование Товара </w:t>
            </w:r>
          </w:p>
        </w:tc>
        <w:tc>
          <w:tcPr>
            <w:tcW w:w="7775" w:type="dxa"/>
            <w:tcBorders>
              <w:top w:val="single" w:sz="4" w:space="0" w:color="auto"/>
              <w:left w:val="single" w:sz="4" w:space="0" w:color="auto"/>
              <w:bottom w:val="single" w:sz="4" w:space="0" w:color="auto"/>
              <w:right w:val="single" w:sz="4" w:space="0" w:color="auto"/>
            </w:tcBorders>
          </w:tcPr>
          <w:p w:rsidR="000B38B4" w:rsidRPr="000B38B4" w:rsidRDefault="000B38B4" w:rsidP="009433D7">
            <w:pPr>
              <w:pStyle w:val="ConsPlusNormal"/>
              <w:jc w:val="center"/>
              <w:rPr>
                <w:sz w:val="22"/>
                <w:szCs w:val="22"/>
              </w:rPr>
            </w:pPr>
          </w:p>
          <w:p w:rsidR="000B38B4" w:rsidRPr="000B38B4" w:rsidRDefault="000B38B4" w:rsidP="009433D7">
            <w:pPr>
              <w:pStyle w:val="ConsPlusNormal"/>
              <w:jc w:val="center"/>
              <w:rPr>
                <w:sz w:val="22"/>
                <w:szCs w:val="22"/>
              </w:rPr>
            </w:pPr>
            <w:r w:rsidRPr="000B38B4">
              <w:rPr>
                <w:sz w:val="22"/>
                <w:szCs w:val="22"/>
              </w:rPr>
              <w:t>Наименование и описание модификации Товара</w:t>
            </w:r>
          </w:p>
        </w:tc>
      </w:tr>
      <w:tr w:rsidR="000B38B4" w:rsidRPr="000B38B4" w:rsidTr="00CD1886">
        <w:trPr>
          <w:trHeight w:val="2650"/>
        </w:trPr>
        <w:tc>
          <w:tcPr>
            <w:tcW w:w="2332" w:type="dxa"/>
            <w:tcBorders>
              <w:top w:val="single" w:sz="4" w:space="0" w:color="auto"/>
              <w:left w:val="single" w:sz="4" w:space="0" w:color="auto"/>
              <w:bottom w:val="single" w:sz="4" w:space="0" w:color="auto"/>
              <w:right w:val="single" w:sz="4" w:space="0" w:color="auto"/>
            </w:tcBorders>
          </w:tcPr>
          <w:p w:rsidR="000B38B4" w:rsidRPr="000B38B4" w:rsidRDefault="000B38B4" w:rsidP="009433D7">
            <w:pPr>
              <w:snapToGrid w:val="0"/>
              <w:jc w:val="center"/>
              <w:rPr>
                <w:rFonts w:ascii="Times New Roman" w:eastAsia="Calibri" w:hAnsi="Times New Roman"/>
              </w:rPr>
            </w:pPr>
          </w:p>
          <w:p w:rsidR="000B38B4" w:rsidRPr="000B38B4" w:rsidRDefault="000B38B4" w:rsidP="009433D7">
            <w:pPr>
              <w:snapToGrid w:val="0"/>
              <w:jc w:val="center"/>
              <w:rPr>
                <w:rFonts w:ascii="Times New Roman" w:hAnsi="Times New Roman"/>
                <w:b/>
              </w:rPr>
            </w:pPr>
            <w:proofErr w:type="spellStart"/>
            <w:r w:rsidRPr="000B38B4">
              <w:rPr>
                <w:rFonts w:ascii="Times New Roman" w:hAnsi="Times New Roman"/>
                <w:b/>
              </w:rPr>
              <w:t>Видеоувеличитель</w:t>
            </w:r>
            <w:proofErr w:type="spellEnd"/>
            <w:r w:rsidRPr="000B38B4">
              <w:rPr>
                <w:rFonts w:ascii="Times New Roman" w:hAnsi="Times New Roman"/>
                <w:b/>
              </w:rPr>
              <w:t xml:space="preserve"> (электронный ручной </w:t>
            </w:r>
            <w:proofErr w:type="spellStart"/>
            <w:r w:rsidRPr="000B38B4">
              <w:rPr>
                <w:rFonts w:ascii="Times New Roman" w:hAnsi="Times New Roman"/>
                <w:b/>
              </w:rPr>
              <w:t>видеоувеличитель</w:t>
            </w:r>
            <w:proofErr w:type="spellEnd"/>
            <w:r w:rsidRPr="000B38B4">
              <w:rPr>
                <w:rFonts w:ascii="Times New Roman" w:hAnsi="Times New Roman"/>
                <w:b/>
              </w:rPr>
              <w:t>)</w:t>
            </w:r>
          </w:p>
          <w:p w:rsidR="000B38B4" w:rsidRPr="000B38B4" w:rsidRDefault="000B38B4" w:rsidP="009433D7">
            <w:pPr>
              <w:snapToGrid w:val="0"/>
              <w:jc w:val="center"/>
              <w:rPr>
                <w:rFonts w:ascii="Times New Roman" w:eastAsia="Lucida Sans Unicode" w:hAnsi="Times New Roman"/>
              </w:rPr>
            </w:pPr>
            <w:r w:rsidRPr="000B38B4">
              <w:rPr>
                <w:rFonts w:ascii="Times New Roman" w:hAnsi="Times New Roman"/>
              </w:rPr>
              <w:t xml:space="preserve"> </w:t>
            </w:r>
            <w:r w:rsidRPr="000B38B4">
              <w:rPr>
                <w:rFonts w:ascii="Times New Roman" w:eastAsia="Lucida Sans Unicode" w:hAnsi="Times New Roman"/>
              </w:rPr>
              <w:t>(ЭРВУ)</w:t>
            </w:r>
          </w:p>
          <w:p w:rsidR="000B38B4" w:rsidRPr="000B38B4" w:rsidRDefault="000B38B4" w:rsidP="009433D7">
            <w:pPr>
              <w:snapToGrid w:val="0"/>
              <w:jc w:val="center"/>
              <w:rPr>
                <w:rFonts w:ascii="Times New Roman" w:hAnsi="Times New Roman"/>
                <w:b/>
              </w:rPr>
            </w:pPr>
            <w:r w:rsidRPr="000B38B4">
              <w:rPr>
                <w:rFonts w:ascii="Times New Roman" w:hAnsi="Times New Roman"/>
                <w:b/>
              </w:rPr>
              <w:t>КОЗ</w:t>
            </w:r>
            <w:r w:rsidRPr="000B38B4">
              <w:rPr>
                <w:rFonts w:ascii="Times New Roman" w:hAnsi="Times New Roman"/>
                <w:b/>
                <w:lang w:val="en-US"/>
              </w:rPr>
              <w:t>:</w:t>
            </w:r>
          </w:p>
          <w:p w:rsidR="000B38B4" w:rsidRPr="000B38B4" w:rsidRDefault="000B38B4" w:rsidP="009433D7">
            <w:pPr>
              <w:snapToGrid w:val="0"/>
              <w:jc w:val="center"/>
              <w:rPr>
                <w:rFonts w:ascii="Times New Roman" w:eastAsia="Lucida Sans Unicode" w:hAnsi="Times New Roman"/>
              </w:rPr>
            </w:pPr>
            <w:r w:rsidRPr="000B38B4">
              <w:rPr>
                <w:rFonts w:ascii="Times New Roman" w:eastAsia="Lucida Sans Unicode" w:hAnsi="Times New Roman"/>
              </w:rPr>
              <w:t>01.28.13.01.02</w:t>
            </w:r>
          </w:p>
          <w:p w:rsidR="000B38B4" w:rsidRPr="000B38B4" w:rsidRDefault="000B38B4" w:rsidP="009433D7">
            <w:pPr>
              <w:pStyle w:val="a7"/>
              <w:snapToGrid w:val="0"/>
              <w:rPr>
                <w:rFonts w:ascii="Times New Roman" w:hAnsi="Times New Roman"/>
                <w:sz w:val="22"/>
                <w:szCs w:val="22"/>
              </w:rPr>
            </w:pPr>
          </w:p>
        </w:tc>
        <w:tc>
          <w:tcPr>
            <w:tcW w:w="7775" w:type="dxa"/>
            <w:tcBorders>
              <w:top w:val="single" w:sz="4" w:space="0" w:color="auto"/>
              <w:left w:val="single" w:sz="4" w:space="0" w:color="auto"/>
              <w:bottom w:val="single" w:sz="4" w:space="0" w:color="auto"/>
              <w:right w:val="single" w:sz="4" w:space="0" w:color="auto"/>
            </w:tcBorders>
          </w:tcPr>
          <w:p w:rsidR="000B38B4" w:rsidRPr="000B38B4" w:rsidRDefault="000B38B4" w:rsidP="000B38B4">
            <w:pPr>
              <w:spacing w:after="120"/>
              <w:jc w:val="both"/>
              <w:rPr>
                <w:rFonts w:ascii="Times New Roman" w:hAnsi="Times New Roman"/>
              </w:rPr>
            </w:pPr>
            <w:proofErr w:type="spellStart"/>
            <w:r w:rsidRPr="000B38B4">
              <w:rPr>
                <w:rFonts w:ascii="Times New Roman" w:hAnsi="Times New Roman"/>
              </w:rPr>
              <w:t>Видеоувеличитель</w:t>
            </w:r>
            <w:proofErr w:type="spellEnd"/>
            <w:r w:rsidRPr="000B38B4">
              <w:rPr>
                <w:rFonts w:ascii="Times New Roman" w:hAnsi="Times New Roman"/>
              </w:rPr>
              <w:t xml:space="preserve"> (электронный ручной </w:t>
            </w:r>
            <w:proofErr w:type="spellStart"/>
            <w:r w:rsidRPr="000B38B4">
              <w:rPr>
                <w:rFonts w:ascii="Times New Roman" w:hAnsi="Times New Roman"/>
              </w:rPr>
              <w:t>видеоувеличитель</w:t>
            </w:r>
            <w:proofErr w:type="spellEnd"/>
            <w:r w:rsidRPr="000B38B4">
              <w:rPr>
                <w:rFonts w:ascii="Times New Roman" w:hAnsi="Times New Roman"/>
              </w:rPr>
              <w:t xml:space="preserve">) (ЭРВУ) </w:t>
            </w:r>
          </w:p>
          <w:p w:rsidR="000B38B4" w:rsidRPr="000B38B4" w:rsidRDefault="000B38B4" w:rsidP="000B38B4">
            <w:pPr>
              <w:tabs>
                <w:tab w:val="left" w:pos="5639"/>
              </w:tabs>
              <w:spacing w:after="120"/>
              <w:jc w:val="both"/>
              <w:rPr>
                <w:rFonts w:ascii="Times New Roman" w:hAnsi="Times New Roman"/>
              </w:rPr>
            </w:pPr>
            <w:r w:rsidRPr="000B38B4">
              <w:rPr>
                <w:rFonts w:ascii="Times New Roman" w:hAnsi="Times New Roman"/>
              </w:rPr>
              <w:t>имеет следующие технические характеристики и режимы:</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Максимальный уровень увеличения, крат: ≥ 20</w:t>
            </w:r>
          </w:p>
          <w:p w:rsidR="000B38B4" w:rsidRPr="000B38B4" w:rsidRDefault="000B38B4" w:rsidP="000B38B4">
            <w:pPr>
              <w:framePr w:hSpace="180" w:wrap="around" w:vAnchor="text" w:hAnchor="page" w:x="1533" w:y="459"/>
              <w:spacing w:after="120"/>
              <w:suppressOverlap/>
              <w:rPr>
                <w:rFonts w:ascii="Times New Roman" w:hAnsi="Times New Roman"/>
                <w:bCs/>
              </w:rPr>
            </w:pPr>
            <w:bookmarkStart w:id="1" w:name="_Hlk104454096"/>
            <w:r w:rsidRPr="000B38B4">
              <w:rPr>
                <w:rFonts w:ascii="Times New Roman" w:hAnsi="Times New Roman"/>
                <w:bCs/>
              </w:rPr>
              <w:t xml:space="preserve">Тип: </w:t>
            </w:r>
            <w:bookmarkEnd w:id="1"/>
            <w:r w:rsidRPr="000B38B4">
              <w:rPr>
                <w:rFonts w:ascii="Times New Roman" w:hAnsi="Times New Roman"/>
                <w:bCs/>
              </w:rPr>
              <w:t>ручной</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Вес, килограмм: ≤ 0.3</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 xml:space="preserve">Интерфейс: </w:t>
            </w:r>
            <w:r w:rsidRPr="000B38B4">
              <w:rPr>
                <w:rFonts w:ascii="Times New Roman" w:hAnsi="Times New Roman"/>
                <w:bCs/>
                <w:lang w:val="en-US"/>
              </w:rPr>
              <w:t>USB</w:t>
            </w:r>
            <w:r w:rsidRPr="000B38B4">
              <w:rPr>
                <w:rFonts w:ascii="Times New Roman" w:hAnsi="Times New Roman"/>
                <w:bCs/>
              </w:rPr>
              <w:t>, разъём для наушников, слот для SD-карты</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Количество цветовых режимов, штука: ≥ 10</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Максимальное время автономной работы от аккумулятора, час: ≥ 2</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аккумулятора/элементов питания в комплекте: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встроенных динамиков: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дополнительных функций: автофокус, подключение к ПК, стоп кадр, хранение изображений</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кнопок управления: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подсветки: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складной или выдвижной ручки: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чехла/сумки в комплекте: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Наличие экрана: да</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 xml:space="preserve">Размер диагонали экрана, дюйм: ≥ 3 </w:t>
            </w:r>
            <w:proofErr w:type="gramStart"/>
            <w:r w:rsidRPr="000B38B4">
              <w:rPr>
                <w:rFonts w:ascii="Times New Roman" w:hAnsi="Times New Roman"/>
                <w:bCs/>
              </w:rPr>
              <w:t>и  &lt;</w:t>
            </w:r>
            <w:proofErr w:type="gramEnd"/>
            <w:r w:rsidRPr="000B38B4">
              <w:rPr>
                <w:rFonts w:ascii="Times New Roman" w:hAnsi="Times New Roman"/>
                <w:bCs/>
              </w:rPr>
              <w:t xml:space="preserve"> 5 (25,4 мм)</w:t>
            </w:r>
          </w:p>
          <w:p w:rsidR="000B38B4" w:rsidRPr="000B38B4" w:rsidRDefault="000B38B4" w:rsidP="000B38B4">
            <w:pPr>
              <w:framePr w:hSpace="180" w:wrap="around" w:vAnchor="text" w:hAnchor="page" w:x="1533" w:y="459"/>
              <w:spacing w:after="120"/>
              <w:suppressOverlap/>
              <w:rPr>
                <w:rFonts w:ascii="Times New Roman" w:hAnsi="Times New Roman"/>
                <w:bCs/>
              </w:rPr>
            </w:pPr>
            <w:r w:rsidRPr="000B38B4">
              <w:rPr>
                <w:rFonts w:ascii="Times New Roman" w:hAnsi="Times New Roman"/>
                <w:bCs/>
              </w:rPr>
              <w:t>Тип питания: от аккумулятора, от сети</w:t>
            </w:r>
          </w:p>
          <w:p w:rsidR="000B38B4" w:rsidRPr="000B38B4" w:rsidRDefault="000B38B4" w:rsidP="000B38B4">
            <w:pPr>
              <w:spacing w:after="120"/>
              <w:jc w:val="both"/>
              <w:rPr>
                <w:rFonts w:ascii="Times New Roman" w:hAnsi="Times New Roman"/>
                <w:bCs/>
              </w:rPr>
            </w:pPr>
            <w:r w:rsidRPr="000B38B4">
              <w:rPr>
                <w:rFonts w:ascii="Times New Roman" w:hAnsi="Times New Roman"/>
                <w:bCs/>
              </w:rPr>
              <w:t>Цветная HD камера: да</w:t>
            </w:r>
          </w:p>
        </w:tc>
      </w:tr>
    </w:tbl>
    <w:p w:rsidR="000B38B4" w:rsidRPr="00C047B6" w:rsidRDefault="000B38B4" w:rsidP="000B38B4">
      <w:pPr>
        <w:jc w:val="both"/>
        <w:rPr>
          <w:rFonts w:ascii="Times New Roman" w:hAnsi="Times New Roman"/>
          <w:sz w:val="26"/>
          <w:szCs w:val="26"/>
        </w:rPr>
      </w:pPr>
    </w:p>
    <w:p w:rsidR="000B38B4" w:rsidRPr="000B38B4" w:rsidRDefault="000B38B4" w:rsidP="000B38B4">
      <w:pPr>
        <w:pStyle w:val="ConsPlusNormal"/>
        <w:jc w:val="center"/>
        <w:rPr>
          <w:b/>
          <w:sz w:val="22"/>
          <w:szCs w:val="22"/>
        </w:rPr>
      </w:pPr>
      <w:r w:rsidRPr="00C047B6">
        <w:rPr>
          <w:b/>
          <w:sz w:val="22"/>
          <w:szCs w:val="22"/>
        </w:rPr>
        <w:t xml:space="preserve">Требования, предъявляемые к качеству, безопасности, упаковке, маркировке, транспортированию и </w:t>
      </w:r>
      <w:r w:rsidRPr="000B38B4">
        <w:rPr>
          <w:b/>
          <w:sz w:val="22"/>
          <w:szCs w:val="22"/>
        </w:rPr>
        <w:t>хранению, а также к техническим и функциональным</w:t>
      </w:r>
      <w:r w:rsidR="009776D3">
        <w:rPr>
          <w:b/>
          <w:sz w:val="22"/>
          <w:szCs w:val="22"/>
        </w:rPr>
        <w:t xml:space="preserve"> </w:t>
      </w:r>
      <w:r w:rsidRPr="000B38B4">
        <w:rPr>
          <w:b/>
          <w:sz w:val="22"/>
          <w:szCs w:val="22"/>
        </w:rPr>
        <w:t>характеристикам Товара</w:t>
      </w:r>
    </w:p>
    <w:p w:rsidR="000B38B4" w:rsidRPr="000B38B4" w:rsidRDefault="000B38B4" w:rsidP="000B38B4">
      <w:pPr>
        <w:pStyle w:val="ConsPlusNormal"/>
        <w:rPr>
          <w:b/>
          <w:sz w:val="22"/>
          <w:szCs w:val="22"/>
        </w:rPr>
      </w:pPr>
    </w:p>
    <w:p w:rsidR="000B38B4" w:rsidRPr="000B38B4" w:rsidRDefault="000B38B4" w:rsidP="000B38B4">
      <w:pPr>
        <w:ind w:firstLine="567"/>
        <w:jc w:val="both"/>
        <w:rPr>
          <w:rFonts w:ascii="Times New Roman" w:hAnsi="Times New Roman"/>
          <w:bCs/>
          <w:color w:val="000000"/>
        </w:rPr>
      </w:pPr>
      <w:r w:rsidRPr="000B38B4">
        <w:rPr>
          <w:rFonts w:ascii="Times New Roman" w:hAnsi="Times New Roman"/>
          <w:bCs/>
          <w:color w:val="000000"/>
        </w:rPr>
        <w:t xml:space="preserve">Требования к качеству, техническим, функциональным характеристикам, </w:t>
      </w:r>
      <w:r w:rsidRPr="000B38B4">
        <w:rPr>
          <w:rFonts w:ascii="Times New Roman" w:hAnsi="Times New Roman"/>
          <w:color w:val="000000"/>
        </w:rPr>
        <w:t>безопасности</w:t>
      </w:r>
      <w:r w:rsidRPr="000B38B4">
        <w:rPr>
          <w:rFonts w:ascii="Times New Roman" w:hAnsi="Times New Roman"/>
          <w:bCs/>
          <w:color w:val="000000"/>
        </w:rPr>
        <w:t xml:space="preserve"> для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hAnsi="Times New Roman"/>
          <w:bCs/>
          <w:color w:val="000000"/>
        </w:rPr>
        <w:t>.</w:t>
      </w:r>
    </w:p>
    <w:p w:rsidR="000B38B4" w:rsidRPr="000B38B4" w:rsidRDefault="000B38B4" w:rsidP="000B38B4">
      <w:pPr>
        <w:jc w:val="both"/>
        <w:rPr>
          <w:rFonts w:ascii="Times New Roman" w:hAnsi="Times New Roman"/>
          <w:color w:val="000000"/>
        </w:rPr>
      </w:pPr>
      <w:r w:rsidRPr="000B38B4">
        <w:rPr>
          <w:rFonts w:ascii="Times New Roman" w:eastAsia="Mangal" w:hAnsi="Times New Roman"/>
        </w:rPr>
        <w:t xml:space="preserve">Электронные ручные </w:t>
      </w:r>
      <w:proofErr w:type="spellStart"/>
      <w:r w:rsidRPr="000B38B4">
        <w:rPr>
          <w:rFonts w:ascii="Times New Roman" w:eastAsia="Mangal" w:hAnsi="Times New Roman"/>
        </w:rPr>
        <w:t>видеоувеличители</w:t>
      </w:r>
      <w:proofErr w:type="spellEnd"/>
      <w:r w:rsidRPr="000B38B4">
        <w:rPr>
          <w:rFonts w:ascii="Times New Roman" w:eastAsia="Mangal" w:hAnsi="Times New Roman"/>
        </w:rPr>
        <w:t xml:space="preserve"> </w:t>
      </w:r>
      <w:r w:rsidRPr="000B38B4">
        <w:rPr>
          <w:rFonts w:ascii="Times New Roman" w:hAnsi="Times New Roman"/>
        </w:rPr>
        <w:t>должны соответствовать Национальному стандарту ГОСТ Р 51075-2017 «Аппаратура телевизионная увеличивающая реабилитационная. Общие технические условия»; ГОСТ Р 51264-99</w:t>
      </w:r>
      <w:r w:rsidRPr="000B38B4">
        <w:rPr>
          <w:rFonts w:ascii="Times New Roman" w:hAnsi="Times New Roman"/>
          <w:color w:val="000000"/>
        </w:rPr>
        <w:t xml:space="preserve"> «Средства связи, информатики и сигнализации реабилитационные электронные. Общие технические условия»; </w:t>
      </w:r>
      <w:r w:rsidRPr="000B38B4">
        <w:rPr>
          <w:rFonts w:ascii="Times New Roman" w:hAnsi="Times New Roman"/>
        </w:rPr>
        <w:t xml:space="preserve">Национальному стандарту </w:t>
      </w:r>
      <w:r w:rsidRPr="000B38B4">
        <w:rPr>
          <w:rFonts w:ascii="Times New Roman" w:hAnsi="Times New Roman"/>
          <w:color w:val="000000"/>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0B38B4" w:rsidRPr="000B38B4" w:rsidRDefault="000B38B4" w:rsidP="000B38B4">
      <w:pPr>
        <w:ind w:firstLine="567"/>
        <w:jc w:val="both"/>
        <w:rPr>
          <w:rFonts w:ascii="Times New Roman" w:hAnsi="Times New Roman"/>
        </w:rPr>
      </w:pPr>
      <w:r w:rsidRPr="000B38B4">
        <w:rPr>
          <w:rFonts w:ascii="Times New Roman" w:hAnsi="Times New Roman"/>
        </w:rPr>
        <w:lastRenderedPageBreak/>
        <w:t xml:space="preserve">Электронный ручной </w:t>
      </w:r>
      <w:proofErr w:type="spellStart"/>
      <w:r w:rsidRPr="000B38B4">
        <w:rPr>
          <w:rFonts w:ascii="Times New Roman" w:hAnsi="Times New Roman"/>
        </w:rPr>
        <w:t>видеоувеличитель</w:t>
      </w:r>
      <w:proofErr w:type="spellEnd"/>
      <w:r w:rsidRPr="000B38B4">
        <w:rPr>
          <w:rFonts w:ascii="Times New Roman" w:hAnsi="Times New Roman"/>
        </w:rPr>
        <w:t xml:space="preserve"> </w:t>
      </w:r>
      <w:r w:rsidRPr="000B38B4">
        <w:rPr>
          <w:rFonts w:ascii="Times New Roman" w:eastAsia="Lucida Sans Unicode" w:hAnsi="Times New Roman"/>
        </w:rPr>
        <w:t xml:space="preserve">(ЭРВУ) </w:t>
      </w:r>
      <w:r w:rsidRPr="000B38B4">
        <w:rPr>
          <w:rFonts w:ascii="Times New Roman" w:hAnsi="Times New Roman"/>
        </w:rPr>
        <w:t xml:space="preserve">должен соответствовать требованиям Технических регламентов Таможенного Союза: </w:t>
      </w:r>
    </w:p>
    <w:p w:rsidR="000B38B4" w:rsidRPr="000B38B4" w:rsidRDefault="000B38B4" w:rsidP="000B38B4">
      <w:pPr>
        <w:ind w:firstLine="567"/>
        <w:jc w:val="both"/>
        <w:rPr>
          <w:rFonts w:ascii="Times New Roman" w:hAnsi="Times New Roman"/>
        </w:rPr>
      </w:pPr>
      <w:r w:rsidRPr="000B38B4">
        <w:rPr>
          <w:rFonts w:ascii="Times New Roman" w:eastAsia="Times New Roman" w:hAnsi="Times New Roman"/>
        </w:rPr>
        <w:t>- ТР ТС 004/2011 «О безопасности низковольтного оборудования»;</w:t>
      </w:r>
    </w:p>
    <w:p w:rsidR="000B38B4" w:rsidRPr="000B38B4" w:rsidRDefault="000B38B4" w:rsidP="000B38B4">
      <w:pPr>
        <w:ind w:firstLine="567"/>
        <w:jc w:val="both"/>
        <w:rPr>
          <w:rFonts w:ascii="Times New Roman" w:hAnsi="Times New Roman"/>
        </w:rPr>
      </w:pPr>
      <w:r w:rsidRPr="000B38B4">
        <w:rPr>
          <w:rFonts w:ascii="Times New Roman" w:eastAsia="Times New Roman" w:hAnsi="Times New Roman"/>
        </w:rPr>
        <w:t>- ТР ТС 020/2011 «Электромагнитная совместимость технических средств».</w:t>
      </w:r>
    </w:p>
    <w:p w:rsidR="000B38B4" w:rsidRPr="000B38B4" w:rsidRDefault="000B38B4" w:rsidP="000B38B4">
      <w:pPr>
        <w:ind w:firstLine="567"/>
        <w:jc w:val="both"/>
        <w:rPr>
          <w:rFonts w:ascii="Times New Roman" w:hAnsi="Times New Roman"/>
          <w:iCs/>
          <w:color w:val="000000"/>
        </w:rPr>
      </w:pPr>
      <w:r w:rsidRPr="000B38B4">
        <w:rPr>
          <w:rFonts w:ascii="Times New Roman" w:hAnsi="Times New Roman"/>
          <w:iCs/>
          <w:color w:val="000000"/>
        </w:rPr>
        <w:t xml:space="preserve">При использовании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eastAsia="Mangal" w:hAnsi="Times New Roman" w:cs="Mangal"/>
          <w:color w:val="000000"/>
        </w:rPr>
        <w:t xml:space="preserve"> </w:t>
      </w:r>
      <w:r w:rsidRPr="000B38B4">
        <w:rPr>
          <w:rFonts w:ascii="Times New Roman" w:hAnsi="Times New Roman"/>
          <w:iCs/>
          <w:color w:val="000000"/>
        </w:rPr>
        <w:t xml:space="preserve">по назначению не должно создаваться угрозы для жизни и здоровья потребителя. </w:t>
      </w:r>
      <w:r w:rsidRPr="000B38B4">
        <w:rPr>
          <w:rFonts w:ascii="Times New Roman" w:hAnsi="Times New Roman"/>
          <w:color w:val="000000"/>
        </w:rPr>
        <w:t xml:space="preserve">Материалы, применяемые для изготовления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eastAsia="Mangal" w:hAnsi="Times New Roman" w:cs="Mangal"/>
          <w:color w:val="000000"/>
        </w:rPr>
        <w:t xml:space="preserve"> </w:t>
      </w:r>
      <w:r w:rsidRPr="000B38B4">
        <w:rPr>
          <w:rFonts w:ascii="Times New Roman" w:hAnsi="Times New Roman"/>
          <w:color w:val="000000"/>
        </w:rPr>
        <w:t xml:space="preserve">не должны содержать токсичных компонентов, а также воздействовать на цвет </w:t>
      </w:r>
      <w:r w:rsidRPr="000B38B4">
        <w:rPr>
          <w:rFonts w:ascii="Times New Roman" w:hAnsi="Times New Roman"/>
          <w:iCs/>
          <w:color w:val="000000"/>
        </w:rPr>
        <w:t xml:space="preserve">поверхности, с которой контактируют те или иные детали изделия при его нормальной эксплуатации. </w:t>
      </w:r>
    </w:p>
    <w:p w:rsidR="000B38B4" w:rsidRPr="000B38B4" w:rsidRDefault="000B38B4" w:rsidP="000B38B4">
      <w:pPr>
        <w:ind w:firstLine="567"/>
        <w:jc w:val="both"/>
        <w:rPr>
          <w:rFonts w:ascii="Times New Roman" w:hAnsi="Times New Roman"/>
          <w:bCs/>
          <w:color w:val="000000"/>
        </w:rPr>
      </w:pPr>
      <w:r w:rsidRPr="000B38B4">
        <w:rPr>
          <w:rFonts w:ascii="Times New Roman" w:hAnsi="Times New Roman"/>
          <w:iCs/>
          <w:color w:val="000000"/>
        </w:rPr>
        <w:t xml:space="preserve">Поставляемые </w:t>
      </w:r>
      <w:r w:rsidRPr="000B38B4">
        <w:rPr>
          <w:rFonts w:ascii="Times New Roman" w:eastAsia="Mangal" w:hAnsi="Times New Roman" w:cs="Mangal"/>
          <w:color w:val="000000"/>
        </w:rPr>
        <w:t xml:space="preserve">электронные ручные </w:t>
      </w:r>
      <w:proofErr w:type="spellStart"/>
      <w:r w:rsidRPr="000B38B4">
        <w:rPr>
          <w:rFonts w:ascii="Times New Roman" w:eastAsia="Mangal" w:hAnsi="Times New Roman" w:cs="Mangal"/>
          <w:color w:val="000000"/>
        </w:rPr>
        <w:t>видеоувеличители</w:t>
      </w:r>
      <w:proofErr w:type="spellEnd"/>
      <w:r w:rsidRPr="000B38B4">
        <w:rPr>
          <w:rFonts w:ascii="Times New Roman" w:eastAsia="Mangal" w:hAnsi="Times New Roman" w:cs="Mangal"/>
          <w:color w:val="000000"/>
        </w:rPr>
        <w:t xml:space="preserve"> </w:t>
      </w:r>
      <w:r w:rsidRPr="000B38B4">
        <w:rPr>
          <w:rFonts w:ascii="Times New Roman" w:hAnsi="Times New Roman"/>
          <w:iCs/>
          <w:color w:val="000000"/>
        </w:rPr>
        <w:t>должны быть новыми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B38B4" w:rsidRPr="000B38B4" w:rsidRDefault="000B38B4" w:rsidP="000B38B4">
      <w:pPr>
        <w:ind w:firstLine="567"/>
        <w:jc w:val="both"/>
        <w:rPr>
          <w:rFonts w:ascii="Times New Roman" w:hAnsi="Times New Roman"/>
          <w:bCs/>
          <w:color w:val="000000"/>
        </w:rPr>
      </w:pPr>
      <w:r w:rsidRPr="000B38B4">
        <w:rPr>
          <w:rFonts w:ascii="Times New Roman" w:hAnsi="Times New Roman"/>
          <w:color w:val="000000"/>
        </w:rPr>
        <w:t xml:space="preserve">Электронные ручные </w:t>
      </w:r>
      <w:proofErr w:type="spellStart"/>
      <w:r w:rsidRPr="000B38B4">
        <w:rPr>
          <w:rFonts w:ascii="Times New Roman" w:hAnsi="Times New Roman"/>
          <w:color w:val="000000"/>
        </w:rPr>
        <w:t>видеоувеличители</w:t>
      </w:r>
      <w:proofErr w:type="spellEnd"/>
      <w:r w:rsidRPr="000B38B4">
        <w:rPr>
          <w:rFonts w:ascii="Times New Roman" w:hAnsi="Times New Roman"/>
          <w:color w:val="000000"/>
        </w:rPr>
        <w:t xml:space="preserve">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0B38B4" w:rsidRPr="000B38B4" w:rsidRDefault="000B38B4" w:rsidP="000B38B4">
      <w:pPr>
        <w:ind w:firstLine="567"/>
        <w:jc w:val="both"/>
        <w:rPr>
          <w:rFonts w:ascii="Times New Roman" w:hAnsi="Times New Roman"/>
          <w:b/>
          <w:color w:val="000000"/>
        </w:rPr>
      </w:pPr>
      <w:r w:rsidRPr="000B38B4">
        <w:rPr>
          <w:rFonts w:ascii="Times New Roman" w:hAnsi="Times New Roman"/>
          <w:b/>
          <w:color w:val="000000"/>
        </w:rPr>
        <w:t>Требования к маркировке, упаковке и отгрузке.</w:t>
      </w:r>
    </w:p>
    <w:p w:rsidR="000B38B4" w:rsidRPr="000B38B4" w:rsidRDefault="000B38B4" w:rsidP="000B38B4">
      <w:pPr>
        <w:ind w:firstLine="567"/>
        <w:jc w:val="both"/>
        <w:rPr>
          <w:rFonts w:ascii="Times New Roman" w:hAnsi="Times New Roman"/>
        </w:rPr>
      </w:pPr>
      <w:r w:rsidRPr="000B38B4">
        <w:rPr>
          <w:rFonts w:ascii="Times New Roman" w:hAnsi="Times New Roman"/>
        </w:rPr>
        <w:t xml:space="preserve">Маркировка, упаковка, хранение и транспортировка </w:t>
      </w:r>
      <w:r w:rsidRPr="000B38B4">
        <w:rPr>
          <w:rFonts w:ascii="Times New Roman" w:eastAsia="Times New Roman" w:hAnsi="Times New Roman"/>
          <w:color w:val="000000"/>
        </w:rPr>
        <w:t xml:space="preserve">упаковки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eastAsia="Times New Roman" w:hAnsi="Times New Roman"/>
          <w:color w:val="000000"/>
        </w:rPr>
        <w:t xml:space="preserve"> </w:t>
      </w:r>
      <w:r w:rsidRPr="000B38B4">
        <w:rPr>
          <w:rFonts w:ascii="Times New Roman" w:hAnsi="Times New Roman"/>
        </w:rPr>
        <w:t xml:space="preserve">к месту нахождения получателя должна осуществляться с соблюдением требований ГОСТ 28594-90 </w:t>
      </w:r>
      <w:r w:rsidRPr="000B38B4">
        <w:rPr>
          <w:rStyle w:val="0pt"/>
          <w:rFonts w:eastAsia="Arial Unicode MS"/>
          <w:sz w:val="22"/>
          <w:szCs w:val="22"/>
        </w:rPr>
        <w:t xml:space="preserve">«Аппаратура радиоэлектронная бытовая. Упаковка, маркировка, транспортирование и хранение», </w:t>
      </w:r>
      <w:r w:rsidRPr="000B38B4">
        <w:rPr>
          <w:rFonts w:ascii="Times New Roman" w:hAnsi="Times New Roman"/>
          <w:color w:val="000000"/>
        </w:rPr>
        <w:t>ГОСТ Р 50460-92 «Знак соответствия при обязательной сертификации. Форма, размеры и технические требования».</w:t>
      </w:r>
    </w:p>
    <w:p w:rsidR="000B38B4" w:rsidRPr="000B38B4" w:rsidRDefault="000B38B4" w:rsidP="000B38B4">
      <w:pPr>
        <w:ind w:firstLine="567"/>
        <w:jc w:val="both"/>
        <w:rPr>
          <w:rFonts w:ascii="Times New Roman" w:hAnsi="Times New Roman"/>
          <w:color w:val="000000"/>
        </w:rPr>
      </w:pPr>
      <w:r w:rsidRPr="000B38B4">
        <w:rPr>
          <w:rFonts w:ascii="Times New Roman" w:hAnsi="Times New Roman"/>
          <w:color w:val="000000"/>
        </w:rPr>
        <w:t xml:space="preserve">Упаковка Товара должна обеспечивать защиту от повреждений, порчи (изнашивания) или загрязнения во время хранения во время хранения и транспортировки к месту пользования по назначению. Упаковка изделий, предназначенных для отправки в районы Крайнего Севера и труднодоступные районы производится в соответствии </w:t>
      </w:r>
      <w:r w:rsidRPr="000B38B4">
        <w:rPr>
          <w:rFonts w:ascii="Times New Roman" w:hAnsi="Times New Roman"/>
        </w:rPr>
        <w:t xml:space="preserve">с </w:t>
      </w:r>
      <w:hyperlink r:id="rId6" w:anchor="/document/6179706/paragraph/3842/doclist/338/showentries/0/highlight/JTVCJTdCJTIybmVlZF9jb3JyZWN0aW9uJTIyJTNBZmFsc2UlMkMlMjJjb250ZXh0JTIyJTNBJTIyJTVDdTA0MTMlNUN1MDQxZSU1Q3UwNDIxJTVDdTA0MjIlMjAxNTg0Ni0yMDAyJTIyJTdEJTVE" w:history="1">
        <w:r w:rsidRPr="000B38B4">
          <w:rPr>
            <w:rFonts w:ascii="Times New Roman" w:eastAsia="SimSun" w:hAnsi="Times New Roman"/>
            <w:lang w:eastAsia="hi-IN" w:bidi="hi-IN"/>
          </w:rPr>
          <w:t xml:space="preserve">Межгосударственным стандартом </w:t>
        </w:r>
        <w:r w:rsidRPr="000B38B4">
          <w:rPr>
            <w:rFonts w:ascii="Times New Roman" w:eastAsia="SimSun" w:hAnsi="Times New Roman"/>
            <w:iCs/>
            <w:lang w:eastAsia="hi-IN" w:bidi="hi-IN"/>
          </w:rPr>
          <w:t>ГОСТ</w:t>
        </w:r>
        <w:r w:rsidRPr="000B38B4">
          <w:rPr>
            <w:rFonts w:ascii="Times New Roman" w:eastAsia="SimSun" w:hAnsi="Times New Roman"/>
            <w:lang w:eastAsia="hi-IN" w:bidi="hi-IN"/>
          </w:rPr>
          <w:t xml:space="preserve"> </w:t>
        </w:r>
        <w:r w:rsidRPr="000B38B4">
          <w:rPr>
            <w:rFonts w:ascii="Times New Roman" w:eastAsia="SimSun" w:hAnsi="Times New Roman"/>
            <w:iCs/>
            <w:lang w:eastAsia="hi-IN" w:bidi="hi-IN"/>
          </w:rPr>
          <w:t>15846</w:t>
        </w:r>
        <w:r w:rsidRPr="000B38B4">
          <w:rPr>
            <w:rFonts w:ascii="Times New Roman" w:eastAsia="SimSun" w:hAnsi="Times New Roman"/>
            <w:lang w:eastAsia="hi-IN" w:bidi="hi-IN"/>
          </w:rPr>
          <w:t>-</w:t>
        </w:r>
        <w:r w:rsidRPr="000B38B4">
          <w:rPr>
            <w:rFonts w:ascii="Times New Roman" w:eastAsia="SimSun" w:hAnsi="Times New Roman"/>
            <w:iCs/>
            <w:lang w:eastAsia="hi-IN" w:bidi="hi-IN"/>
          </w:rPr>
          <w:t>2002</w:t>
        </w:r>
        <w:r w:rsidRPr="000B38B4">
          <w:rPr>
            <w:rFonts w:ascii="Times New Roman" w:eastAsia="SimSun" w:hAnsi="Times New Roman"/>
            <w:lang w:eastAsia="hi-IN" w:bidi="hi-IN"/>
          </w:rPr>
          <w:t xml:space="preserve"> "Продукция, отправляемая в районы Крайнего Севера и приравненные к ним местности. Упаковка, маркировка, транспортирование и хранение"</w:t>
        </w:r>
      </w:hyperlink>
      <w:r w:rsidRPr="000B38B4">
        <w:rPr>
          <w:rStyle w:val="0pt"/>
          <w:rFonts w:eastAsia="Arial Unicode MS"/>
          <w:sz w:val="22"/>
          <w:szCs w:val="22"/>
        </w:rPr>
        <w:t xml:space="preserve">. </w:t>
      </w:r>
      <w:r w:rsidRPr="000B38B4">
        <w:rPr>
          <w:rFonts w:ascii="Times New Roman" w:hAnsi="Times New Roman"/>
          <w:color w:val="000000"/>
        </w:rPr>
        <w:t>Условия транспортирования в части воздействия механических факторов - по группе С ГОСТ 23216-78 «</w:t>
      </w:r>
      <w:r w:rsidRPr="000B38B4">
        <w:rPr>
          <w:rFonts w:ascii="Times New Roman" w:hAnsi="Times New Roman"/>
        </w:rPr>
        <w:t xml:space="preserve">Изделия электротехнические. Хранение, транспортирование, временная противокоррозионная защита, упаковка. Общие требования и методы испытаний», </w:t>
      </w:r>
      <w:r w:rsidRPr="000B38B4">
        <w:rPr>
          <w:rFonts w:ascii="Times New Roman" w:hAnsi="Times New Roman"/>
          <w:color w:val="000000"/>
        </w:rPr>
        <w:t xml:space="preserve">климатических факторов - по группам условий хранения ГОСТ 15150-69 </w:t>
      </w:r>
      <w:r w:rsidRPr="000B38B4">
        <w:rPr>
          <w:rFonts w:ascii="Times New Roman" w:hAnsi="Times New Roman"/>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B38B4" w:rsidRPr="000B38B4" w:rsidRDefault="000B38B4" w:rsidP="000B38B4">
      <w:pPr>
        <w:ind w:firstLine="567"/>
        <w:jc w:val="both"/>
        <w:rPr>
          <w:rFonts w:ascii="Times New Roman" w:hAnsi="Times New Roman"/>
          <w:bCs/>
          <w:color w:val="000000"/>
        </w:rPr>
      </w:pPr>
      <w:r w:rsidRPr="000B38B4">
        <w:rPr>
          <w:rFonts w:ascii="Times New Roman" w:eastAsia="Times New Roman" w:hAnsi="Times New Roman"/>
          <w:color w:val="000000"/>
        </w:rPr>
        <w:t xml:space="preserve">Маркировка упаковки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eastAsia="Times New Roman" w:hAnsi="Times New Roman"/>
          <w:color w:val="000000"/>
        </w:rPr>
        <w:t xml:space="preserve"> должна включать: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условное обозначение группы </w:t>
      </w:r>
      <w:r w:rsidRPr="000B38B4">
        <w:rPr>
          <w:rFonts w:ascii="Times New Roman" w:eastAsia="Mangal" w:hAnsi="Times New Roman" w:cs="Mangal"/>
          <w:color w:val="000000"/>
        </w:rPr>
        <w:t xml:space="preserve">электронных ручных </w:t>
      </w:r>
      <w:proofErr w:type="spellStart"/>
      <w:r w:rsidRPr="000B38B4">
        <w:rPr>
          <w:rFonts w:ascii="Times New Roman" w:eastAsia="Mangal" w:hAnsi="Times New Roman" w:cs="Mangal"/>
          <w:color w:val="000000"/>
        </w:rPr>
        <w:t>видеоувеличителей</w:t>
      </w:r>
      <w:proofErr w:type="spellEnd"/>
      <w:r w:rsidRPr="000B38B4">
        <w:rPr>
          <w:rFonts w:ascii="Times New Roman" w:eastAsia="Times New Roman" w:hAnsi="Times New Roman"/>
          <w:color w:val="000000"/>
        </w:rPr>
        <w:t xml:space="preserve">, товарную марку (при наличии), обозначение номера изделия (при наличии);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страну-изготовителя, наименование предприятия-изготовителя, юридический адрес, товарный знак (при наличии);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номер артикула (при наличии);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количество изделий в упаковке;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дату (месяц, год) изготовления;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гарантийный срок годности;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правила использования (при необходимости);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 xml:space="preserve">штриховой код изделия (при наличии); </w:t>
      </w:r>
    </w:p>
    <w:p w:rsidR="000B38B4" w:rsidRPr="000B38B4" w:rsidRDefault="000B38B4" w:rsidP="000B38B4">
      <w:pPr>
        <w:widowControl w:val="0"/>
        <w:numPr>
          <w:ilvl w:val="0"/>
          <w:numId w:val="2"/>
        </w:numPr>
        <w:suppressAutoHyphens/>
        <w:spacing w:after="0" w:line="240" w:lineRule="auto"/>
        <w:ind w:left="0" w:firstLine="567"/>
        <w:jc w:val="both"/>
        <w:rPr>
          <w:rFonts w:ascii="Times New Roman" w:eastAsia="Times New Roman" w:hAnsi="Times New Roman"/>
          <w:color w:val="000000"/>
        </w:rPr>
      </w:pPr>
      <w:r w:rsidRPr="000B38B4">
        <w:rPr>
          <w:rFonts w:ascii="Times New Roman" w:eastAsia="Times New Roman" w:hAnsi="Times New Roman"/>
          <w:color w:val="000000"/>
        </w:rPr>
        <w:t>информацию о сертификации (при наличии).</w:t>
      </w:r>
    </w:p>
    <w:p w:rsidR="000B38B4" w:rsidRPr="000B38B4" w:rsidRDefault="000B38B4" w:rsidP="000B38B4">
      <w:pPr>
        <w:ind w:firstLine="567"/>
        <w:jc w:val="both"/>
        <w:rPr>
          <w:rFonts w:ascii="Times New Roman" w:eastAsia="Times New Roman" w:hAnsi="Times New Roman"/>
          <w:color w:val="000000"/>
        </w:rPr>
      </w:pPr>
      <w:r w:rsidRPr="000B38B4">
        <w:rPr>
          <w:rFonts w:ascii="Times New Roman" w:hAnsi="Times New Roman"/>
        </w:rPr>
        <w:t xml:space="preserve">Гарантийный срок эксплуатации </w:t>
      </w:r>
      <w:r w:rsidRPr="000B38B4">
        <w:rPr>
          <w:rFonts w:ascii="Times New Roman" w:eastAsia="Mangal" w:hAnsi="Times New Roman"/>
          <w:color w:val="000000"/>
        </w:rPr>
        <w:t xml:space="preserve">электронных ручных </w:t>
      </w:r>
      <w:proofErr w:type="spellStart"/>
      <w:r w:rsidRPr="000B38B4">
        <w:rPr>
          <w:rFonts w:ascii="Times New Roman" w:eastAsia="Mangal" w:hAnsi="Times New Roman"/>
          <w:color w:val="000000"/>
        </w:rPr>
        <w:t>видеоувеличителей</w:t>
      </w:r>
      <w:proofErr w:type="spellEnd"/>
      <w:r w:rsidRPr="000B38B4">
        <w:rPr>
          <w:rFonts w:ascii="Times New Roman" w:eastAsia="Mangal" w:hAnsi="Times New Roman"/>
          <w:color w:val="000000"/>
        </w:rPr>
        <w:t xml:space="preserve"> </w:t>
      </w:r>
      <w:r w:rsidRPr="000B38B4">
        <w:rPr>
          <w:rFonts w:ascii="Times New Roman" w:hAnsi="Times New Roman"/>
        </w:rPr>
        <w:t>24 месяц</w:t>
      </w:r>
      <w:r w:rsidR="009776D3">
        <w:rPr>
          <w:rFonts w:ascii="Times New Roman" w:hAnsi="Times New Roman"/>
        </w:rPr>
        <w:t>а</w:t>
      </w:r>
      <w:r w:rsidRPr="000B38B4">
        <w:rPr>
          <w:rFonts w:ascii="Times New Roman" w:hAnsi="Times New Roman"/>
        </w:rPr>
        <w:t xml:space="preserve"> с момента подписания Получателем Акта приема-передачи товара, и не может быть меньше установленного изготовителем гарантийного срока эксплуатации. </w:t>
      </w:r>
    </w:p>
    <w:p w:rsidR="000B38B4" w:rsidRPr="000B38B4" w:rsidRDefault="000B38B4" w:rsidP="000B38B4">
      <w:pPr>
        <w:ind w:firstLine="567"/>
        <w:jc w:val="both"/>
        <w:rPr>
          <w:rFonts w:ascii="Times New Roman" w:hAnsi="Times New Roman"/>
        </w:rPr>
      </w:pPr>
      <w:r w:rsidRPr="000B38B4">
        <w:rPr>
          <w:rFonts w:ascii="Times New Roman" w:hAnsi="Times New Roman"/>
        </w:rPr>
        <w:lastRenderedPageBreak/>
        <w:t>Срок гарантийного ремонта со дня обращения Получателя не должен превышать 20 рабочих дней.</w:t>
      </w:r>
    </w:p>
    <w:p w:rsidR="000B38B4" w:rsidRPr="000B38B4" w:rsidRDefault="000B38B4" w:rsidP="000B38B4">
      <w:pPr>
        <w:ind w:firstLine="567"/>
        <w:jc w:val="both"/>
        <w:rPr>
          <w:rFonts w:ascii="Times New Roman" w:eastAsia="Times New Roman" w:hAnsi="Times New Roman"/>
          <w:color w:val="000000"/>
        </w:rPr>
      </w:pPr>
      <w:r w:rsidRPr="000B38B4">
        <w:rPr>
          <w:rFonts w:ascii="Times New Roman" w:hAnsi="Times New Roman"/>
        </w:rPr>
        <w:t xml:space="preserve">Срок пользования </w:t>
      </w:r>
      <w:r w:rsidRPr="000B38B4">
        <w:rPr>
          <w:rFonts w:ascii="Times New Roman" w:hAnsi="Times New Roman"/>
          <w:color w:val="000000"/>
          <w:spacing w:val="-4"/>
        </w:rPr>
        <w:t xml:space="preserve">электронных ручных </w:t>
      </w:r>
      <w:proofErr w:type="spellStart"/>
      <w:r w:rsidRPr="000B38B4">
        <w:rPr>
          <w:rFonts w:ascii="Times New Roman" w:hAnsi="Times New Roman"/>
          <w:color w:val="000000"/>
          <w:spacing w:val="-4"/>
        </w:rPr>
        <w:t>видеоувеличителей</w:t>
      </w:r>
      <w:proofErr w:type="spellEnd"/>
      <w:r w:rsidRPr="000B38B4">
        <w:rPr>
          <w:rFonts w:ascii="Times New Roman" w:hAnsi="Times New Roman"/>
          <w:color w:val="000000"/>
          <w:spacing w:val="-4"/>
        </w:rPr>
        <w:t xml:space="preserve"> </w:t>
      </w:r>
      <w:r w:rsidRPr="000B38B4">
        <w:rPr>
          <w:rFonts w:ascii="Times New Roman" w:hAnsi="Times New Roman"/>
        </w:rPr>
        <w:t>должен составлять не менее 7 лет с даты предоставления его Получателю.</w:t>
      </w:r>
    </w:p>
    <w:p w:rsidR="000B38B4" w:rsidRPr="000B38B4" w:rsidRDefault="000B38B4" w:rsidP="000B38B4">
      <w:pPr>
        <w:ind w:firstLine="567"/>
        <w:jc w:val="both"/>
        <w:rPr>
          <w:rFonts w:ascii="Times New Roman" w:hAnsi="Times New Roman"/>
        </w:rPr>
      </w:pPr>
      <w:r w:rsidRPr="000B38B4">
        <w:rPr>
          <w:rFonts w:ascii="Times New Roman" w:hAnsi="Times New Roman"/>
        </w:rPr>
        <w:t xml:space="preserve">Место поставки: Предоставить Получателям согласно </w:t>
      </w:r>
      <w:proofErr w:type="gramStart"/>
      <w:r w:rsidRPr="000B38B4">
        <w:rPr>
          <w:rFonts w:ascii="Times New Roman" w:hAnsi="Times New Roman"/>
        </w:rPr>
        <w:t>реестру получателей Товара</w:t>
      </w:r>
      <w:proofErr w:type="gramEnd"/>
      <w:r w:rsidRPr="000B38B4">
        <w:rPr>
          <w:rFonts w:ascii="Times New Roman" w:hAnsi="Times New Roman"/>
        </w:rPr>
        <w:t xml:space="preserve"> в пределах административных границ Иркутской области право выбора одного из способов получения Товара (по месту жительства Получателя, в пунктах выдачи).</w:t>
      </w:r>
    </w:p>
    <w:p w:rsidR="00576717" w:rsidRPr="00576717" w:rsidRDefault="00576717" w:rsidP="000B38B4">
      <w:pPr>
        <w:spacing w:after="0" w:line="240" w:lineRule="auto"/>
        <w:jc w:val="center"/>
        <w:rPr>
          <w:rFonts w:ascii="Times New Roman" w:eastAsia="Calibri" w:hAnsi="Times New Roman" w:cs="Times New Roman"/>
          <w:bCs/>
          <w:iCs/>
          <w:spacing w:val="-3"/>
        </w:rPr>
      </w:pPr>
    </w:p>
    <w:sectPr w:rsidR="00576717" w:rsidRPr="00576717" w:rsidSect="009776D3">
      <w:pgSz w:w="12240" w:h="15840"/>
      <w:pgMar w:top="567" w:right="616"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10CA1"/>
    <w:rsid w:val="00012FA8"/>
    <w:rsid w:val="00014490"/>
    <w:rsid w:val="000166DE"/>
    <w:rsid w:val="000226FF"/>
    <w:rsid w:val="00023722"/>
    <w:rsid w:val="00023762"/>
    <w:rsid w:val="00037692"/>
    <w:rsid w:val="00043BB2"/>
    <w:rsid w:val="00046912"/>
    <w:rsid w:val="00046A83"/>
    <w:rsid w:val="00064930"/>
    <w:rsid w:val="0007073C"/>
    <w:rsid w:val="00072DDD"/>
    <w:rsid w:val="00082B96"/>
    <w:rsid w:val="000A7266"/>
    <w:rsid w:val="000B03F4"/>
    <w:rsid w:val="000B38B4"/>
    <w:rsid w:val="000B3C25"/>
    <w:rsid w:val="000C2732"/>
    <w:rsid w:val="000C4094"/>
    <w:rsid w:val="000C461E"/>
    <w:rsid w:val="000E0A23"/>
    <w:rsid w:val="000F70F9"/>
    <w:rsid w:val="000F710C"/>
    <w:rsid w:val="00112B84"/>
    <w:rsid w:val="00121D43"/>
    <w:rsid w:val="001234D2"/>
    <w:rsid w:val="00127D1F"/>
    <w:rsid w:val="00137B9F"/>
    <w:rsid w:val="00141224"/>
    <w:rsid w:val="001607D9"/>
    <w:rsid w:val="00162195"/>
    <w:rsid w:val="0016568F"/>
    <w:rsid w:val="001975FC"/>
    <w:rsid w:val="001B09BB"/>
    <w:rsid w:val="001C78F2"/>
    <w:rsid w:val="001D1DB1"/>
    <w:rsid w:val="001D5B4B"/>
    <w:rsid w:val="001F6CE5"/>
    <w:rsid w:val="002030B6"/>
    <w:rsid w:val="0020390C"/>
    <w:rsid w:val="0020571D"/>
    <w:rsid w:val="00217DCB"/>
    <w:rsid w:val="0024017C"/>
    <w:rsid w:val="00241666"/>
    <w:rsid w:val="00244134"/>
    <w:rsid w:val="002577A8"/>
    <w:rsid w:val="002630D1"/>
    <w:rsid w:val="00273C4D"/>
    <w:rsid w:val="002A579E"/>
    <w:rsid w:val="002E36E2"/>
    <w:rsid w:val="002F7A4C"/>
    <w:rsid w:val="00310983"/>
    <w:rsid w:val="00313B50"/>
    <w:rsid w:val="00314561"/>
    <w:rsid w:val="00327269"/>
    <w:rsid w:val="00333321"/>
    <w:rsid w:val="0034717F"/>
    <w:rsid w:val="0035226B"/>
    <w:rsid w:val="00353EFD"/>
    <w:rsid w:val="0038625C"/>
    <w:rsid w:val="003A0460"/>
    <w:rsid w:val="003A0E88"/>
    <w:rsid w:val="003A2542"/>
    <w:rsid w:val="003A2674"/>
    <w:rsid w:val="003D5100"/>
    <w:rsid w:val="003E0154"/>
    <w:rsid w:val="003E6C67"/>
    <w:rsid w:val="003F608E"/>
    <w:rsid w:val="00403FA4"/>
    <w:rsid w:val="004209FD"/>
    <w:rsid w:val="00425026"/>
    <w:rsid w:val="004302B6"/>
    <w:rsid w:val="00437BF4"/>
    <w:rsid w:val="00446558"/>
    <w:rsid w:val="00454F86"/>
    <w:rsid w:val="00460C65"/>
    <w:rsid w:val="004657B4"/>
    <w:rsid w:val="004671D7"/>
    <w:rsid w:val="004910FF"/>
    <w:rsid w:val="004A1A8D"/>
    <w:rsid w:val="004A25F8"/>
    <w:rsid w:val="004A451F"/>
    <w:rsid w:val="004A5AC2"/>
    <w:rsid w:val="004B3087"/>
    <w:rsid w:val="004C10A3"/>
    <w:rsid w:val="004C5E40"/>
    <w:rsid w:val="004D699C"/>
    <w:rsid w:val="004D6CC5"/>
    <w:rsid w:val="004E3926"/>
    <w:rsid w:val="004E4ECE"/>
    <w:rsid w:val="005066FE"/>
    <w:rsid w:val="0051052B"/>
    <w:rsid w:val="005106F2"/>
    <w:rsid w:val="005216E1"/>
    <w:rsid w:val="0053069F"/>
    <w:rsid w:val="00535CA9"/>
    <w:rsid w:val="00545620"/>
    <w:rsid w:val="00553773"/>
    <w:rsid w:val="00560707"/>
    <w:rsid w:val="00562207"/>
    <w:rsid w:val="00563EEB"/>
    <w:rsid w:val="0056456E"/>
    <w:rsid w:val="00576717"/>
    <w:rsid w:val="00577723"/>
    <w:rsid w:val="00577A63"/>
    <w:rsid w:val="00580091"/>
    <w:rsid w:val="005956D6"/>
    <w:rsid w:val="005B024C"/>
    <w:rsid w:val="005D41DA"/>
    <w:rsid w:val="005F6F8B"/>
    <w:rsid w:val="00605B2D"/>
    <w:rsid w:val="00607C79"/>
    <w:rsid w:val="00612004"/>
    <w:rsid w:val="00625DD0"/>
    <w:rsid w:val="006379A8"/>
    <w:rsid w:val="00642012"/>
    <w:rsid w:val="00644655"/>
    <w:rsid w:val="00665796"/>
    <w:rsid w:val="00674087"/>
    <w:rsid w:val="00674BA7"/>
    <w:rsid w:val="0067503A"/>
    <w:rsid w:val="00682FD9"/>
    <w:rsid w:val="006861BC"/>
    <w:rsid w:val="00696F96"/>
    <w:rsid w:val="006A7DF6"/>
    <w:rsid w:val="006B7B78"/>
    <w:rsid w:val="006C054E"/>
    <w:rsid w:val="006C2DA0"/>
    <w:rsid w:val="006C5539"/>
    <w:rsid w:val="006D1E38"/>
    <w:rsid w:val="006D77A2"/>
    <w:rsid w:val="006D79AE"/>
    <w:rsid w:val="006F4C5C"/>
    <w:rsid w:val="0072319F"/>
    <w:rsid w:val="007269D6"/>
    <w:rsid w:val="007307BC"/>
    <w:rsid w:val="00744139"/>
    <w:rsid w:val="00772666"/>
    <w:rsid w:val="0077400B"/>
    <w:rsid w:val="00774279"/>
    <w:rsid w:val="00775DC5"/>
    <w:rsid w:val="0077660C"/>
    <w:rsid w:val="00785CE7"/>
    <w:rsid w:val="00795A29"/>
    <w:rsid w:val="00797866"/>
    <w:rsid w:val="007B0189"/>
    <w:rsid w:val="007D0819"/>
    <w:rsid w:val="007D40C1"/>
    <w:rsid w:val="007D73FF"/>
    <w:rsid w:val="007E2059"/>
    <w:rsid w:val="00811A05"/>
    <w:rsid w:val="0082561F"/>
    <w:rsid w:val="0083218E"/>
    <w:rsid w:val="008371B2"/>
    <w:rsid w:val="00851F0A"/>
    <w:rsid w:val="00890AD9"/>
    <w:rsid w:val="008A397F"/>
    <w:rsid w:val="008A44F0"/>
    <w:rsid w:val="008A4C8A"/>
    <w:rsid w:val="008C330F"/>
    <w:rsid w:val="008E1F7B"/>
    <w:rsid w:val="008E2EF0"/>
    <w:rsid w:val="008F4440"/>
    <w:rsid w:val="008F5AD8"/>
    <w:rsid w:val="009042D6"/>
    <w:rsid w:val="00914896"/>
    <w:rsid w:val="009217F2"/>
    <w:rsid w:val="00922726"/>
    <w:rsid w:val="00922D1E"/>
    <w:rsid w:val="0093268D"/>
    <w:rsid w:val="009776D3"/>
    <w:rsid w:val="009779CA"/>
    <w:rsid w:val="00984265"/>
    <w:rsid w:val="0098636F"/>
    <w:rsid w:val="0099113F"/>
    <w:rsid w:val="009937A3"/>
    <w:rsid w:val="00993B69"/>
    <w:rsid w:val="009B6B3F"/>
    <w:rsid w:val="009E15E5"/>
    <w:rsid w:val="009F76A0"/>
    <w:rsid w:val="00A1062C"/>
    <w:rsid w:val="00A108BA"/>
    <w:rsid w:val="00A14566"/>
    <w:rsid w:val="00A17F83"/>
    <w:rsid w:val="00A2676B"/>
    <w:rsid w:val="00A31458"/>
    <w:rsid w:val="00A3613D"/>
    <w:rsid w:val="00A419BB"/>
    <w:rsid w:val="00A503C7"/>
    <w:rsid w:val="00A51D10"/>
    <w:rsid w:val="00A63C69"/>
    <w:rsid w:val="00A662CE"/>
    <w:rsid w:val="00A874B4"/>
    <w:rsid w:val="00A906FA"/>
    <w:rsid w:val="00A95CE4"/>
    <w:rsid w:val="00A97AE8"/>
    <w:rsid w:val="00AA2BCA"/>
    <w:rsid w:val="00AF53D8"/>
    <w:rsid w:val="00B022D4"/>
    <w:rsid w:val="00B031CE"/>
    <w:rsid w:val="00B276F7"/>
    <w:rsid w:val="00B4498D"/>
    <w:rsid w:val="00B63BC4"/>
    <w:rsid w:val="00B766D4"/>
    <w:rsid w:val="00B954C9"/>
    <w:rsid w:val="00BA1E19"/>
    <w:rsid w:val="00BB215B"/>
    <w:rsid w:val="00BB64FB"/>
    <w:rsid w:val="00BC716F"/>
    <w:rsid w:val="00BE7212"/>
    <w:rsid w:val="00BF0B1E"/>
    <w:rsid w:val="00BF3AEB"/>
    <w:rsid w:val="00C01D90"/>
    <w:rsid w:val="00C033E9"/>
    <w:rsid w:val="00C06E9A"/>
    <w:rsid w:val="00C10595"/>
    <w:rsid w:val="00C13A8D"/>
    <w:rsid w:val="00C2082A"/>
    <w:rsid w:val="00C22B24"/>
    <w:rsid w:val="00C430E8"/>
    <w:rsid w:val="00C56A6B"/>
    <w:rsid w:val="00C61C85"/>
    <w:rsid w:val="00C638F6"/>
    <w:rsid w:val="00C70F49"/>
    <w:rsid w:val="00C74B93"/>
    <w:rsid w:val="00C84AE9"/>
    <w:rsid w:val="00C97E26"/>
    <w:rsid w:val="00CC3C2F"/>
    <w:rsid w:val="00CC4C76"/>
    <w:rsid w:val="00CD1886"/>
    <w:rsid w:val="00CF3B03"/>
    <w:rsid w:val="00CF4273"/>
    <w:rsid w:val="00D060A6"/>
    <w:rsid w:val="00D2213D"/>
    <w:rsid w:val="00D23DB1"/>
    <w:rsid w:val="00D24FD5"/>
    <w:rsid w:val="00D42AC5"/>
    <w:rsid w:val="00D649BF"/>
    <w:rsid w:val="00D82B9B"/>
    <w:rsid w:val="00D92759"/>
    <w:rsid w:val="00DA5C38"/>
    <w:rsid w:val="00DC394A"/>
    <w:rsid w:val="00DC4BA7"/>
    <w:rsid w:val="00DE7961"/>
    <w:rsid w:val="00DF3D91"/>
    <w:rsid w:val="00DF5A99"/>
    <w:rsid w:val="00E16241"/>
    <w:rsid w:val="00E24688"/>
    <w:rsid w:val="00E313E0"/>
    <w:rsid w:val="00E6331F"/>
    <w:rsid w:val="00E80C3A"/>
    <w:rsid w:val="00E80CD5"/>
    <w:rsid w:val="00EA169D"/>
    <w:rsid w:val="00EE17B5"/>
    <w:rsid w:val="00EE3C67"/>
    <w:rsid w:val="00EE51F2"/>
    <w:rsid w:val="00EF2D30"/>
    <w:rsid w:val="00EF39A6"/>
    <w:rsid w:val="00F05A65"/>
    <w:rsid w:val="00F07BC9"/>
    <w:rsid w:val="00F14351"/>
    <w:rsid w:val="00F24B17"/>
    <w:rsid w:val="00F2661F"/>
    <w:rsid w:val="00F27581"/>
    <w:rsid w:val="00F3471F"/>
    <w:rsid w:val="00F446E3"/>
    <w:rsid w:val="00F5305D"/>
    <w:rsid w:val="00F61054"/>
    <w:rsid w:val="00F80534"/>
    <w:rsid w:val="00F87ABA"/>
    <w:rsid w:val="00FA4338"/>
    <w:rsid w:val="00FA5977"/>
    <w:rsid w:val="00FB000D"/>
    <w:rsid w:val="00FB4C07"/>
    <w:rsid w:val="00FC063A"/>
    <w:rsid w:val="00FC41A1"/>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0"/>
    <w:qFormat/>
    <w:rsid w:val="00A108BA"/>
    <w:pPr>
      <w:keepNext/>
      <w:widowControl w:val="0"/>
      <w:suppressAutoHyphens/>
      <w:spacing w:before="240" w:after="120"/>
      <w:contextualSpacing w:val="0"/>
      <w:outlineLvl w:val="0"/>
    </w:pPr>
    <w:rPr>
      <w:rFonts w:ascii="Times New Roman" w:eastAsia="SimSun" w:hAnsi="Times New Roman" w:cs="Mangal"/>
      <w:b/>
      <w:bCs/>
      <w:spacing w:val="0"/>
      <w:kern w:val="1"/>
      <w:sz w:val="48"/>
      <w:szCs w:val="48"/>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7660C"/>
    <w:rPr>
      <w:color w:val="0563C1" w:themeColor="hyperlink"/>
      <w:u w:val="single"/>
    </w:rPr>
  </w:style>
  <w:style w:type="table" w:styleId="a6">
    <w:name w:val="Table Grid"/>
    <w:basedOn w:val="a3"/>
    <w:uiPriority w:val="59"/>
    <w:rsid w:val="00BB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8">
    <w:name w:val="Заголовок таблицы"/>
    <w:basedOn w:val="a7"/>
    <w:rsid w:val="00FA5977"/>
    <w:pPr>
      <w:jc w:val="center"/>
    </w:pPr>
    <w:rPr>
      <w:b/>
      <w:bCs/>
      <w:lang w:eastAsia="ar-SA"/>
    </w:rPr>
  </w:style>
  <w:style w:type="paragraph" w:styleId="a1">
    <w:name w:val="Body Text"/>
    <w:basedOn w:val="a"/>
    <w:link w:val="a9"/>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9">
    <w:name w:val="Основной текст Знак"/>
    <w:basedOn w:val="a2"/>
    <w:link w:val="a1"/>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a">
    <w:name w:val="No Spacing"/>
    <w:link w:val="ab"/>
    <w:qFormat/>
    <w:rsid w:val="00F3471F"/>
    <w:pPr>
      <w:spacing w:after="0" w:line="240" w:lineRule="auto"/>
    </w:pPr>
    <w:rPr>
      <w:rFonts w:ascii="Calibri" w:eastAsia="Calibri" w:hAnsi="Calibri" w:cs="Times New Roman"/>
    </w:rPr>
  </w:style>
  <w:style w:type="character" w:customStyle="1" w:styleId="ab">
    <w:name w:val="Без интервала Знак"/>
    <w:link w:val="aa"/>
    <w:rsid w:val="00F3471F"/>
    <w:rPr>
      <w:rFonts w:ascii="Calibri" w:eastAsia="Calibri" w:hAnsi="Calibri" w:cs="Times New Roman"/>
    </w:rPr>
  </w:style>
  <w:style w:type="paragraph" w:styleId="ac">
    <w:name w:val="Balloon Text"/>
    <w:basedOn w:val="a"/>
    <w:link w:val="ad"/>
    <w:uiPriority w:val="99"/>
    <w:semiHidden/>
    <w:unhideWhenUsed/>
    <w:rsid w:val="0067503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67503A"/>
    <w:rPr>
      <w:rFonts w:ascii="Segoe UI" w:hAnsi="Segoe UI" w:cs="Segoe UI"/>
      <w:sz w:val="18"/>
      <w:szCs w:val="18"/>
    </w:rPr>
  </w:style>
  <w:style w:type="paragraph" w:styleId="ae">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f">
    <w:name w:val="Strong"/>
    <w:uiPriority w:val="22"/>
    <w:qFormat/>
    <w:rsid w:val="0016568F"/>
    <w:rPr>
      <w:b/>
      <w:bCs/>
    </w:rPr>
  </w:style>
  <w:style w:type="paragraph" w:customStyle="1" w:styleId="af0">
    <w:name w:val="Прижатый влево"/>
    <w:basedOn w:val="a"/>
    <w:next w:val="a"/>
    <w:uiPriority w:val="99"/>
    <w:rsid w:val="003E6C67"/>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2"/>
    <w:link w:val="1"/>
    <w:rsid w:val="00A108BA"/>
    <w:rPr>
      <w:rFonts w:ascii="Times New Roman" w:eastAsia="SimSun" w:hAnsi="Times New Roman" w:cs="Mangal"/>
      <w:b/>
      <w:bCs/>
      <w:kern w:val="1"/>
      <w:sz w:val="48"/>
      <w:szCs w:val="48"/>
      <w:lang w:eastAsia="hi-IN" w:bidi="hi-IN"/>
    </w:rPr>
  </w:style>
  <w:style w:type="paragraph" w:styleId="a0">
    <w:name w:val="Title"/>
    <w:basedOn w:val="a"/>
    <w:next w:val="a"/>
    <w:link w:val="af1"/>
    <w:uiPriority w:val="10"/>
    <w:qFormat/>
    <w:rsid w:val="00A10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2"/>
    <w:link w:val="a0"/>
    <w:uiPriority w:val="10"/>
    <w:rsid w:val="00A108BA"/>
    <w:rPr>
      <w:rFonts w:asciiTheme="majorHAnsi" w:eastAsiaTheme="majorEastAsia" w:hAnsiTheme="majorHAnsi" w:cstheme="majorBidi"/>
      <w:spacing w:val="-10"/>
      <w:kern w:val="28"/>
      <w:sz w:val="56"/>
      <w:szCs w:val="56"/>
    </w:rPr>
  </w:style>
  <w:style w:type="paragraph" w:customStyle="1" w:styleId="s1">
    <w:name w:val="s_1"/>
    <w:basedOn w:val="a"/>
    <w:rsid w:val="0063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38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rsid w:val="000B38B4"/>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38.0.165:90/" TargetMode="Externa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Шегай Инна Карловна</cp:lastModifiedBy>
  <cp:revision>4</cp:revision>
  <cp:lastPrinted>2024-10-10T02:29:00Z</cp:lastPrinted>
  <dcterms:created xsi:type="dcterms:W3CDTF">2024-10-21T02:51:00Z</dcterms:created>
  <dcterms:modified xsi:type="dcterms:W3CDTF">2024-10-21T03:48:00Z</dcterms:modified>
</cp:coreProperties>
</file>