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57" w:rsidRPr="00647957" w:rsidRDefault="00647957" w:rsidP="00647957">
      <w:pPr>
        <w:tabs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47957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bookmarkStart w:id="0" w:name="_GoBack"/>
      <w:bookmarkEnd w:id="0"/>
      <w:r w:rsidRPr="006479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47957" w:rsidRPr="00647957" w:rsidRDefault="00647957" w:rsidP="00647957">
      <w:pPr>
        <w:tabs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47957">
        <w:rPr>
          <w:rFonts w:ascii="Times New Roman" w:eastAsia="Calibri" w:hAnsi="Times New Roman" w:cs="Times New Roman"/>
          <w:i/>
          <w:sz w:val="24"/>
          <w:szCs w:val="24"/>
        </w:rPr>
        <w:t>к извещению о проведении закупки</w:t>
      </w:r>
    </w:p>
    <w:p w:rsidR="00D03643" w:rsidRPr="00D03643" w:rsidRDefault="00D03643" w:rsidP="00D03643">
      <w:pPr>
        <w:spacing w:after="0" w:line="240" w:lineRule="auto"/>
        <w:ind w:right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36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объекта закупки (т</w:t>
      </w:r>
      <w:r w:rsidRPr="00D0364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ехническое задание) </w:t>
      </w:r>
    </w:p>
    <w:p w:rsidR="00D03643" w:rsidRPr="00D03643" w:rsidRDefault="00D03643" w:rsidP="00D03643">
      <w:pPr>
        <w:spacing w:after="0" w:line="240" w:lineRule="auto"/>
        <w:ind w:right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03643" w:rsidRPr="00D03643" w:rsidRDefault="00D03643" w:rsidP="00D03643">
      <w:pPr>
        <w:spacing w:after="0" w:line="192" w:lineRule="auto"/>
        <w:ind w:right="19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поставку слуховых аппаратов </w:t>
      </w:r>
      <w:r w:rsidRPr="00D03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костной проводимости (неимплантируемого)</w:t>
      </w:r>
      <w:r w:rsidRPr="00D03643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r w:rsidRPr="00D0364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(далее-Товар) для социального обеспечения граждан (далее-Получатели) в 2024 году</w:t>
      </w:r>
    </w:p>
    <w:p w:rsidR="00D03643" w:rsidRPr="00D03643" w:rsidRDefault="00D03643" w:rsidP="00D03643">
      <w:pPr>
        <w:spacing w:after="0" w:line="192" w:lineRule="auto"/>
        <w:ind w:right="2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03643" w:rsidRPr="00D03643" w:rsidRDefault="00D03643" w:rsidP="00D03643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Срок поставки Товара Получателям: </w:t>
      </w: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даты получения от Заказчика реестра получателей Товара до 31.10.2024 года (включительно).</w:t>
      </w:r>
    </w:p>
    <w:p w:rsidR="00D03643" w:rsidRPr="00D03643" w:rsidRDefault="00D03643" w:rsidP="00D03643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Место доставки Товара: </w:t>
      </w: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Санкт-Петербург.</w:t>
      </w:r>
    </w:p>
    <w:p w:rsidR="00D03643" w:rsidRPr="00D03643" w:rsidRDefault="00D03643" w:rsidP="00D03643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Место жительства (место пребывания, фактического проживания) Получателей:</w:t>
      </w: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Санкт-Петербург.</w:t>
      </w:r>
    </w:p>
    <w:p w:rsidR="00D03643" w:rsidRPr="00D03643" w:rsidRDefault="00D03643" w:rsidP="00D03643">
      <w:pPr>
        <w:numPr>
          <w:ilvl w:val="0"/>
          <w:numId w:val="1"/>
        </w:numPr>
        <w:spacing w:after="3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Поставщик обязан обеспечить поступление Товара по наименованию, в количестве и в сроки, определенные календарным планом:</w:t>
      </w:r>
    </w:p>
    <w:tbl>
      <w:tblPr>
        <w:tblStyle w:val="TableGrid2"/>
        <w:tblW w:w="10208" w:type="dxa"/>
        <w:tblInd w:w="-7" w:type="dxa"/>
        <w:tblLayout w:type="fixed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9"/>
        <w:gridCol w:w="2694"/>
        <w:gridCol w:w="5590"/>
        <w:gridCol w:w="1275"/>
      </w:tblGrid>
      <w:tr w:rsidR="00D03643" w:rsidRPr="00D03643" w:rsidTr="000A5735">
        <w:trPr>
          <w:trHeight w:val="7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:rsidR="00D03643" w:rsidRPr="00D03643" w:rsidRDefault="00D03643" w:rsidP="00D03643">
            <w:pPr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Наименование Товара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Периоды поставки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Количество, (шт.)</w:t>
            </w:r>
          </w:p>
        </w:tc>
      </w:tr>
      <w:tr w:rsidR="00D03643" w:rsidRPr="00D03643" w:rsidTr="000A5735">
        <w:trPr>
          <w:trHeight w:val="60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 xml:space="preserve">Слуховой аппарат костной проводимости </w:t>
            </w:r>
          </w:p>
          <w:p w:rsidR="00D03643" w:rsidRPr="00D03643" w:rsidRDefault="00D03643" w:rsidP="00D03643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(неимплантируемый)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spacing w:line="192" w:lineRule="auto"/>
              <w:ind w:right="58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В течение 15 (пятнадцати) календарных дней с даты заключения государственного контракта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</w:tr>
      <w:tr w:rsidR="00D03643" w:rsidRPr="00D03643" w:rsidTr="000A5735">
        <w:trPr>
          <w:trHeight w:val="378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</w:tbl>
    <w:p w:rsidR="00D03643" w:rsidRPr="00D03643" w:rsidRDefault="00D03643" w:rsidP="00D03643">
      <w:pPr>
        <w:numPr>
          <w:ilvl w:val="0"/>
          <w:numId w:val="1"/>
        </w:num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D03643" w:rsidRPr="00D03643" w:rsidRDefault="00D03643" w:rsidP="00D03643">
      <w:pPr>
        <w:numPr>
          <w:ilvl w:val="0"/>
          <w:numId w:val="1"/>
        </w:numPr>
        <w:spacing w:after="0" w:line="24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Товар должен отвечать следующим требованиям:</w:t>
      </w:r>
    </w:p>
    <w:tbl>
      <w:tblPr>
        <w:tblStyle w:val="TableGrid2"/>
        <w:tblW w:w="10122" w:type="dxa"/>
        <w:tblInd w:w="137" w:type="dxa"/>
        <w:tblLayout w:type="fixed"/>
        <w:tblCellMar>
          <w:top w:w="63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79"/>
        <w:gridCol w:w="1547"/>
        <w:gridCol w:w="1701"/>
        <w:gridCol w:w="3969"/>
        <w:gridCol w:w="1418"/>
        <w:gridCol w:w="908"/>
      </w:tblGrid>
      <w:tr w:rsidR="00D03643" w:rsidRPr="00D03643" w:rsidTr="000A5735">
        <w:trPr>
          <w:trHeight w:val="64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spacing w:line="192" w:lineRule="auto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:rsidR="00D03643" w:rsidRPr="00D03643" w:rsidRDefault="00D03643" w:rsidP="00D03643">
            <w:pPr>
              <w:spacing w:line="192" w:lineRule="auto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spacing w:line="192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spacing w:line="192" w:lineRule="auto"/>
              <w:ind w:right="5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Наименование Товара по КТРУ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spacing w:line="192" w:lineRule="auto"/>
              <w:ind w:right="5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Характеристика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Значение характеристики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Кол-во, шт.</w:t>
            </w:r>
          </w:p>
        </w:tc>
      </w:tr>
      <w:tr w:rsidR="00D03643" w:rsidRPr="00D03643" w:rsidTr="000A5735">
        <w:trPr>
          <w:trHeight w:val="50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spacing w:line="192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 xml:space="preserve">Слуховой аппарат костной проводимости </w:t>
            </w:r>
          </w:p>
          <w:p w:rsidR="00D03643" w:rsidRPr="00D03643" w:rsidRDefault="00D03643" w:rsidP="00D03643">
            <w:pPr>
              <w:spacing w:line="192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(неимплантируемый)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spacing w:line="192" w:lineRule="auto"/>
              <w:ind w:right="5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t>Аппарат слуховой костной проводимости с креплением на голове, не имплантируемый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spacing w:line="192" w:lineRule="auto"/>
              <w:ind w:righ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 xml:space="preserve">Слуховой аппарат костной проводимости (неимплантируемый) предназначен для реабилитации детей и взрослых с кондуктивной тугоухостью и должен иметь следующие характеристики: </w:t>
            </w:r>
          </w:p>
          <w:p w:rsidR="00D03643" w:rsidRPr="00D03643" w:rsidRDefault="00D03643" w:rsidP="00D03643">
            <w:pPr>
              <w:spacing w:line="192" w:lineRule="auto"/>
              <w:ind w:righ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 xml:space="preserve">- способ крепления: мягкий бандажный фиксатор (мягкая головная лента) или головной бандаж;  </w:t>
            </w:r>
          </w:p>
          <w:p w:rsidR="00D03643" w:rsidRPr="00D03643" w:rsidRDefault="00D03643" w:rsidP="00D03643">
            <w:pPr>
              <w:spacing w:after="19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 xml:space="preserve">- способ обработки сигналов: цифровой; </w:t>
            </w:r>
          </w:p>
          <w:p w:rsidR="00D03643" w:rsidRPr="00D03643" w:rsidRDefault="00D03643" w:rsidP="00D03643">
            <w:pPr>
              <w:spacing w:after="19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 xml:space="preserve">- способ настройки: цифровой;  </w:t>
            </w:r>
          </w:p>
          <w:p w:rsidR="00D03643" w:rsidRPr="00D03643" w:rsidRDefault="00D03643" w:rsidP="00D03643">
            <w:pPr>
              <w:spacing w:after="19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 xml:space="preserve">- светодиодный индикатор работы, расположенный на устройстве; </w:t>
            </w:r>
          </w:p>
          <w:p w:rsidR="00D03643" w:rsidRPr="00D03643" w:rsidRDefault="00D03643" w:rsidP="00D03643">
            <w:pPr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 xml:space="preserve">- кнопка смены программы, расположенная на устройстве;  </w:t>
            </w:r>
          </w:p>
          <w:p w:rsidR="00D03643" w:rsidRPr="00D03643" w:rsidRDefault="00D03643" w:rsidP="00D03643">
            <w:pPr>
              <w:spacing w:after="1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 xml:space="preserve">- количество каналов цифрового анализа и обработки - звукового сигнала, шт.: не менее 17 (включительно);  </w:t>
            </w:r>
          </w:p>
          <w:p w:rsidR="00D03643" w:rsidRPr="00D03643" w:rsidRDefault="00D03643" w:rsidP="00D03643">
            <w:pPr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>- количество встроенных направленных микрофонов, шт.: не менее 2 (включительно);</w:t>
            </w:r>
          </w:p>
          <w:p w:rsidR="00D03643" w:rsidRPr="00D03643" w:rsidRDefault="00D03643" w:rsidP="00D03643">
            <w:pPr>
              <w:spacing w:after="2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lastRenderedPageBreak/>
              <w:t>- количество программ прослушивания, шт.: не менее 4 (включительно);</w:t>
            </w:r>
          </w:p>
          <w:p w:rsidR="00D03643" w:rsidRPr="00D03643" w:rsidRDefault="00D03643" w:rsidP="00D03643">
            <w:pPr>
              <w:spacing w:after="2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 xml:space="preserve">- частотный диапазон: ≥ 200 Гц (включительно) и ≤ 9850 Гц (включительно);  </w:t>
            </w:r>
          </w:p>
          <w:p w:rsidR="00D03643" w:rsidRPr="00D03643" w:rsidRDefault="00D03643" w:rsidP="00D03643">
            <w:pPr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 xml:space="preserve">- максимальный выходной уровень силы на 90 дБ (ВУС90), дБ: ≤ 121 дБ (включительно);  </w:t>
            </w:r>
          </w:p>
          <w:p w:rsidR="00D03643" w:rsidRPr="00D03643" w:rsidRDefault="00D03643" w:rsidP="00D03643">
            <w:pPr>
              <w:spacing w:after="19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 xml:space="preserve">- коэффициент гармонических искажений, %: ≤ 3 (включительно);  </w:t>
            </w:r>
          </w:p>
          <w:p w:rsidR="00D03643" w:rsidRPr="00D03643" w:rsidRDefault="00D03643" w:rsidP="00D03643">
            <w:pPr>
              <w:spacing w:after="17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 xml:space="preserve">- уровень собственных шумов, дБ: ≤ 24 дБ (включительно);  </w:t>
            </w:r>
          </w:p>
          <w:p w:rsidR="00D03643" w:rsidRPr="00D03643" w:rsidRDefault="00D03643" w:rsidP="00D03643">
            <w:pPr>
              <w:spacing w:after="19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>- потребляемый ток в состоянии покоя, мА: 1,8 (включительно);</w:t>
            </w:r>
          </w:p>
          <w:p w:rsidR="00D03643" w:rsidRPr="00D03643" w:rsidRDefault="00D03643" w:rsidP="00D03643">
            <w:pPr>
              <w:spacing w:after="19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 xml:space="preserve">- вес без элемента питания, г: ≤ 11,5 (включительно);  </w:t>
            </w:r>
          </w:p>
          <w:p w:rsidR="00D03643" w:rsidRPr="00D03643" w:rsidRDefault="00D03643" w:rsidP="00D03643">
            <w:pPr>
              <w:spacing w:after="25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 xml:space="preserve">- прямое управление через приложение мобильного телефона;  </w:t>
            </w:r>
          </w:p>
          <w:p w:rsidR="00D03643" w:rsidRPr="00D03643" w:rsidRDefault="00D03643" w:rsidP="00D03643">
            <w:pPr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 xml:space="preserve">- возможность потоковой передача звука, в т.ч. с использованием технологии Bluetooth®; </w:t>
            </w:r>
          </w:p>
          <w:p w:rsidR="00D03643" w:rsidRPr="00D03643" w:rsidRDefault="00D03643" w:rsidP="00D03643">
            <w:pPr>
              <w:spacing w:after="4" w:line="192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 xml:space="preserve">- система динамического подавления обратной связи; </w:t>
            </w:r>
          </w:p>
          <w:p w:rsidR="00D03643" w:rsidRPr="00D03643" w:rsidRDefault="00D03643" w:rsidP="00D03643">
            <w:pPr>
              <w:spacing w:after="4" w:line="192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>-  - система адаптивного шумоподавления;</w:t>
            </w:r>
          </w:p>
          <w:p w:rsidR="00D03643" w:rsidRPr="00D03643" w:rsidRDefault="00D03643" w:rsidP="00D03643">
            <w:pPr>
              <w:spacing w:after="4" w:line="192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>- защита от резких громких звуков;</w:t>
            </w:r>
          </w:p>
          <w:p w:rsidR="00D03643" w:rsidRPr="00D03643" w:rsidRDefault="00D03643" w:rsidP="00D03643">
            <w:pPr>
              <w:spacing w:after="4" w:line="192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>- многополосная автоматическая адаптивная система направленности;</w:t>
            </w:r>
          </w:p>
          <w:p w:rsidR="00D03643" w:rsidRPr="00D03643" w:rsidRDefault="00D03643" w:rsidP="00D03643">
            <w:pPr>
              <w:spacing w:after="4" w:line="192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>- компрессия широкого динамического диапазона;</w:t>
            </w:r>
          </w:p>
          <w:p w:rsidR="00D03643" w:rsidRPr="00D03643" w:rsidRDefault="00D03643" w:rsidP="00D03643">
            <w:pPr>
              <w:spacing w:after="4" w:line="192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>- динамическая стабилизация выходного сигнала;</w:t>
            </w:r>
          </w:p>
          <w:p w:rsidR="00D03643" w:rsidRPr="00D03643" w:rsidRDefault="00D03643" w:rsidP="00D03643">
            <w:pPr>
              <w:spacing w:after="4" w:line="192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>- стратегии кодирования, разработанные для: смешанной потери слуха, кондуктивной потери слуха, односторонней сенсоневральной глухоты;</w:t>
            </w:r>
          </w:p>
          <w:p w:rsidR="00D03643" w:rsidRPr="00D03643" w:rsidRDefault="00D03643" w:rsidP="00D03643">
            <w:pPr>
              <w:spacing w:after="4" w:line="192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>- функция измерения прямой костной проводимости;</w:t>
            </w:r>
          </w:p>
          <w:p w:rsidR="00D03643" w:rsidRPr="00D03643" w:rsidRDefault="00D03643" w:rsidP="00D03643">
            <w:pPr>
              <w:spacing w:after="4" w:line="192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>- универсальная конструкция процессора позволяет, благодаря системе 2-х направленных микрофонов, использовать процессор, как для левостороннего, так и для правостороннего слухопротезирования;</w:t>
            </w:r>
          </w:p>
          <w:p w:rsidR="00D03643" w:rsidRPr="00D03643" w:rsidRDefault="00D03643" w:rsidP="00D03643">
            <w:pPr>
              <w:spacing w:after="4" w:line="192" w:lineRule="auto"/>
              <w:ind w:right="13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sz w:val="24"/>
                <w:szCs w:val="24"/>
              </w:rPr>
              <w:t>- костный вибратор расположен в одном корпусе со звуковым процессором (конструктивное исполнение слухового аппарата - моноблок).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spacing w:line="192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lastRenderedPageBreak/>
              <w:t>Наличие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spacing w:line="192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</w:tr>
      <w:tr w:rsidR="00D03643" w:rsidRPr="00D03643" w:rsidTr="000A5735">
        <w:trPr>
          <w:trHeight w:val="37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43" w:rsidRPr="00D03643" w:rsidRDefault="00D03643" w:rsidP="00D03643">
            <w:pPr>
              <w:rPr>
                <w:rFonts w:ascii="Times New Roman" w:hAnsi="Times New Roman"/>
                <w:color w:val="000000"/>
                <w:sz w:val="24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43" w:rsidRPr="00D03643" w:rsidRDefault="00D03643" w:rsidP="00D0364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43" w:rsidRPr="00D03643" w:rsidRDefault="00D03643" w:rsidP="00D0364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3" w:rsidRPr="00D03643" w:rsidRDefault="00D03643" w:rsidP="00D03643">
            <w:pPr>
              <w:ind w:right="33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D0364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</w:tr>
    </w:tbl>
    <w:p w:rsidR="00D03643" w:rsidRPr="00D03643" w:rsidRDefault="00D03643" w:rsidP="00D03643">
      <w:pPr>
        <w:spacing w:after="0" w:line="192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03643" w:rsidRPr="00D03643" w:rsidRDefault="00D03643" w:rsidP="00D03643">
      <w:pPr>
        <w:spacing w:after="0" w:line="192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Обоснование включения дополнительной информации в сведения о товаре, работе, услуге:</w:t>
      </w: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Медицинское заключение с описанием слуховых аппаратов.</w:t>
      </w:r>
    </w:p>
    <w:p w:rsidR="00D03643" w:rsidRPr="00D03643" w:rsidRDefault="00D03643" w:rsidP="00D03643">
      <w:pPr>
        <w:numPr>
          <w:ilvl w:val="0"/>
          <w:numId w:val="2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(Издание третье, переработанное и дополненное, 2018 г.)</w:t>
      </w:r>
    </w:p>
    <w:p w:rsidR="00D03643" w:rsidRPr="00D03643" w:rsidRDefault="00D03643" w:rsidP="00D03643">
      <w:pPr>
        <w:numPr>
          <w:ilvl w:val="0"/>
          <w:numId w:val="2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ГОСТ Р 51024-2012 «Аппараты слуховые электронные реабилитационные. Технические требования и методы испытаний».</w:t>
      </w:r>
    </w:p>
    <w:p w:rsidR="00D03643" w:rsidRPr="00D03643" w:rsidRDefault="00D03643" w:rsidP="00D03643">
      <w:pPr>
        <w:numPr>
          <w:ilvl w:val="1"/>
          <w:numId w:val="3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 № 2300-1 «О защите прав потребителей»).</w:t>
      </w:r>
    </w:p>
    <w:p w:rsidR="00D03643" w:rsidRPr="00D03643" w:rsidRDefault="00D03643" w:rsidP="00D03643">
      <w:pPr>
        <w:numPr>
          <w:ilvl w:val="1"/>
          <w:numId w:val="3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Товар должен соответствовать требованиям государственного стандарта (ГОСТ), действующего на территории Российской Федерации: ГОСТ Р 51024-2012 «Аппараты слуховые электронные реабилитационные. Технические требования и методы испытаний».</w:t>
      </w:r>
    </w:p>
    <w:p w:rsidR="00D03643" w:rsidRPr="00D03643" w:rsidRDefault="00D03643" w:rsidP="00D03643">
      <w:pPr>
        <w:numPr>
          <w:ilvl w:val="1"/>
          <w:numId w:val="3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D03643" w:rsidRPr="00D03643" w:rsidRDefault="00D03643" w:rsidP="00D03643">
      <w:pPr>
        <w:numPr>
          <w:ilvl w:val="1"/>
          <w:numId w:val="3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3.5. Гарантийный срок Товара составляет не менее 24 месяцев (Закон РФ от 07.02.1992 №2300 1 «О защите прав потребителей») со дня подписания Получателем акта приема-передачи Товара. Установленный настоящим пунктом Технического задания срок не распространяется на случаи нарушения Получателем условий и требований к эксплуатации Товара. 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Поставщик обязан: 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4.1. Поставлять Товар для Получателей, имеющий действующие регистрационные удостоверения, выданные Федеральной службой по надзору в сфере здравоохранения (в случае, если Товар подлежит регистрации), и (или) декларации о соответствии или сертификат соответствия поставляемого Товара либо иные документы, свидетельствующие о качестве и безопасности Товара, предусмотренные действующим законодательством Российской Федерации.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4.2. Осуществлять поставку Товара Получателям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работе с Получателями обеспечить соблюдение рекомендаций и санитарно-эпидемиологических требований Роспотребнадзора и исполнительных органов государственной власти Санкт-Петербурга при возникновении неблагоприятной санитарно-эпидемиологической обстановки, в том числе в период распространении новой коронавирусной инфекции (COVID-19).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4.3. Обеспечить возможность выдачи Товара со дня, следующего за днем поступления Товара в Санкт-Петербург в соответствии с календарным планом. В день, следующий за днем поступления Товара в Санкт-Петербург в соответствии с календарным планом, на пункте (пунктах) приема Получателей должно находиться не менее 100 % Товара всех наименований для бесперебойной выдачи. В дальнейшем в пунктах приема Получателей ежедневно должно находиться количество Товара всех наименований в количестве достаточном для бесперебойной выдачи.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4.4. Осуществлять в течение гарантийного срока за счет собственных средств гарантийный ремонт и (или) гарантийную замену Товара, преждевременно вышедшего из строя не по вине Получателей, и (или) имеющих скрытые недостатки или дефекты (брак).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Срок осуществления замены Товара не должен превышать 15 рабочих дней со дня обращения Получателя (Заказчика).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связи с тем, что передача Товара осуществляется непосредственно Получателю, Поставщик должен вместе с Товаром передать Получателю гарантийный талон или иной документ, содержащий сведения, необходимые для обращения к Поставщику по вопросам гарантийного </w:t>
      </w: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ремонта (замены) Товара, а также содержащий адрес (адреса) и режим работы пункта (пунктов) приема Получателей.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Прием Получателей по вопросам, касающимся выдачи и гарантийного ремонта Товара, осуществляется Поставщиком по месту нахождения организованных Поставщиком пункта (пунктов) приема Получателей на территории Санкт-Петербурга.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4.5. Давать справки Получателям по вопросам, связанным с поставкой Товара, в часы работы пункта (пунктов) приема Получателей и гарантийного обслуживания. Для звонков Получателей должен быть выделен телефонный номер. Информацию о телефонном номере Поставщик должен предоставить Заказчику не позднее 1 (одного) рабочего дня с даты заключения государственного контракта.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Звонки с городских номеров Санкт-Петербурга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исключается возможность взимания оплаты за звонки Поставщиком.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4.6.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инвалидами способа, места и времени доставки Товара.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4.7. Давать справки Получателям по вопросам, связанным с поставкой Товара, а также осуществлять прием заявок на доставку по месту нахождения Получателя.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4.8.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r w:rsidRPr="00D03643">
        <w:rPr>
          <w:rFonts w:ascii="Times New Roman" w:eastAsia="Times New Roman" w:hAnsi="Times New Roman" w:cs="Times New Roman"/>
          <w:color w:val="0563C1"/>
          <w:sz w:val="24"/>
          <w:u w:val="single" w:color="0563C1"/>
          <w:lang w:eastAsia="ru-RU"/>
        </w:rPr>
        <w:t>osp@ro78.fss.ru</w:t>
      </w: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tsrfil31@ro78.fss.ru.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4.9. В случае привлечения к исполнению контракта соисполнителя в срок не позднее 1 (одного) рабочего дня с даты заключения государственного контракта, предоставить Заказчику данные о соисполнителе:</w:t>
      </w:r>
    </w:p>
    <w:p w:rsidR="00D03643" w:rsidRPr="00D03643" w:rsidRDefault="00D03643" w:rsidP="00D03643">
      <w:pPr>
        <w:numPr>
          <w:ilvl w:val="0"/>
          <w:numId w:val="4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D03643" w:rsidRPr="00D03643" w:rsidRDefault="00D03643" w:rsidP="00D03643">
      <w:pPr>
        <w:numPr>
          <w:ilvl w:val="0"/>
          <w:numId w:val="4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фамилия, имя, отчество (при наличии), паспортные данные, место жительства (для физического лица);</w:t>
      </w:r>
    </w:p>
    <w:p w:rsidR="00D03643" w:rsidRPr="00D03643" w:rsidRDefault="00D03643" w:rsidP="00D03643">
      <w:pPr>
        <w:numPr>
          <w:ilvl w:val="0"/>
          <w:numId w:val="4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номер контактного телефона;</w:t>
      </w:r>
    </w:p>
    <w:p w:rsidR="00D03643" w:rsidRPr="00D03643" w:rsidRDefault="00D03643" w:rsidP="00D03643">
      <w:pPr>
        <w:numPr>
          <w:ilvl w:val="0"/>
          <w:numId w:val="4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адрес электронной почты;</w:t>
      </w:r>
    </w:p>
    <w:p w:rsidR="00D03643" w:rsidRPr="00D03643" w:rsidRDefault="00D03643" w:rsidP="00D03643">
      <w:pPr>
        <w:numPr>
          <w:ilvl w:val="0"/>
          <w:numId w:val="4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D03643" w:rsidRPr="00D03643" w:rsidRDefault="00D03643" w:rsidP="00D03643">
      <w:pPr>
        <w:numPr>
          <w:ilvl w:val="0"/>
          <w:numId w:val="4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перечень операций, выполняемых соисполнителем в рамках контракта; </w:t>
      </w:r>
    </w:p>
    <w:p w:rsidR="00D03643" w:rsidRPr="00D03643" w:rsidRDefault="00D03643" w:rsidP="00D03643">
      <w:pPr>
        <w:numPr>
          <w:ilvl w:val="0"/>
          <w:numId w:val="4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срок соисполнительства.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со дня расторжения такого договора.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адресу: </w:t>
      </w:r>
      <w:r w:rsidRPr="00D03643">
        <w:rPr>
          <w:rFonts w:ascii="Times New Roman" w:eastAsia="Times New Roman" w:hAnsi="Times New Roman" w:cs="Times New Roman"/>
          <w:color w:val="0563C1"/>
          <w:sz w:val="24"/>
          <w:u w:val="single" w:color="0563C1"/>
          <w:lang w:eastAsia="ru-RU"/>
        </w:rPr>
        <w:t>osp@ro78.fss.ru</w:t>
      </w: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D03643" w:rsidRPr="00D03643" w:rsidRDefault="00D03643" w:rsidP="00D03643">
      <w:pPr>
        <w:spacing w:after="0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Способ поставки: </w:t>
      </w:r>
    </w:p>
    <w:p w:rsidR="00D03643" w:rsidRPr="00D03643" w:rsidRDefault="00D03643" w:rsidP="00D03643">
      <w:pPr>
        <w:spacing w:after="0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 стационарных пунктах выдачи, организованных Поставщиком на территории Санкт-Петербурга, в соответствии с приказом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 В случае выбора Получателем способа получения Товара по месту нахождения пункта (пунктов) приема Получателей, организованных Поставщиком, передача Товара Получателю осуществляется в день обращения Получателя в пункт(-ы) приема Получателей с направлением. На отрывном талоне направления Поставщик в обязательном порядке проставляет дату обращения Получателя.</w:t>
      </w:r>
    </w:p>
    <w:p w:rsidR="00D03643" w:rsidRPr="00D03643" w:rsidRDefault="00D03643" w:rsidP="00D03643">
      <w:pPr>
        <w:numPr>
          <w:ilvl w:val="1"/>
          <w:numId w:val="5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Передача Товара Получателям должна производиться в каждом из пунктов приема Получателей не менее 6 (шести) дней в неделю, не менее 40 (сорока) часов в неделю, при этом, время работы должно быть в интервале с 08:00 час. до 22:00 час.</w:t>
      </w:r>
    </w:p>
    <w:p w:rsidR="00D03643" w:rsidRPr="00D03643" w:rsidRDefault="00D03643" w:rsidP="00D03643">
      <w:pPr>
        <w:numPr>
          <w:ilvl w:val="1"/>
          <w:numId w:val="5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административной границы субъекта не менее чем с 10:00 час. до 21:00 час. не менее 6 (шести) дней в неделю, по предварительной записи по телефону, предоставленному Заказчику не позднее 1 (одного) рабочего дня с даты заключения государственного контракта. Доставка осуществляется за счет средств Поставщика.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D03643" w:rsidRPr="00D03643" w:rsidRDefault="00D03643" w:rsidP="00D03643">
      <w:pPr>
        <w:numPr>
          <w:ilvl w:val="1"/>
          <w:numId w:val="5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случаях отказа от Товара Получателя Поставщик обязан предоставить письменный отказ Получателя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r w:rsidRPr="00D03643">
        <w:rPr>
          <w:rFonts w:ascii="Times New Roman" w:eastAsia="Times New Roman" w:hAnsi="Times New Roman" w:cs="Times New Roman"/>
          <w:color w:val="0563C1"/>
          <w:sz w:val="24"/>
          <w:u w:val="single" w:color="0563C1"/>
          <w:lang w:eastAsia="ru-RU"/>
        </w:rPr>
        <w:t>osp@ro78.fss.ru</w:t>
      </w: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еженедельно (в последний рабочий день недели).</w:t>
      </w:r>
    </w:p>
    <w:p w:rsidR="00D03643" w:rsidRPr="00D03643" w:rsidRDefault="00D03643" w:rsidP="00D03643">
      <w:pPr>
        <w:numPr>
          <w:ilvl w:val="1"/>
          <w:numId w:val="5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D03643" w:rsidRPr="00D03643" w:rsidRDefault="00D03643" w:rsidP="00D03643">
      <w:pPr>
        <w:numPr>
          <w:ilvl w:val="1"/>
          <w:numId w:val="5"/>
        </w:numPr>
        <w:spacing w:after="3" w:line="192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целью подтверждения соответствия Товара по количеству, комплектности, ассортименту и качеству </w:t>
      </w:r>
      <w:r w:rsidRPr="00D0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требованиям, установленным Техническим заданием, </w:t>
      </w: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Заказчик по своему усмотрению производит сплошную и/или выборочную проверку Товара и соответствия пункта (пунктов) приема Получателей требованиям Технического задания. При проведении проверки Заказчик вправе осуществлять фотофиксацию и/или видеозапись.</w:t>
      </w:r>
    </w:p>
    <w:p w:rsidR="00D03643" w:rsidRPr="00D03643" w:rsidRDefault="00D03643" w:rsidP="00D03643">
      <w:pPr>
        <w:spacing w:after="3" w:line="192" w:lineRule="auto"/>
        <w:ind w:right="-11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36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 При проведении экспертизы Товара на соответствие их условиям Технического задания, Поставщик должен предоставить необходимое для проведения экспертизы количество Товара. При этом предоставленное для экспертизы количество Товара не входит в общий объем Товара предусмотренный Техническим заданием.</w:t>
      </w:r>
    </w:p>
    <w:p w:rsidR="00304BB6" w:rsidRDefault="00331045"/>
    <w:sectPr w:rsidR="00304BB6">
      <w:headerReference w:type="default" r:id="rId7"/>
      <w:footnotePr>
        <w:numFmt w:val="chicago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45" w:rsidRDefault="00331045">
      <w:pPr>
        <w:spacing w:after="0" w:line="240" w:lineRule="auto"/>
      </w:pPr>
      <w:r>
        <w:separator/>
      </w:r>
    </w:p>
  </w:endnote>
  <w:endnote w:type="continuationSeparator" w:id="0">
    <w:p w:rsidR="00331045" w:rsidRDefault="0033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45" w:rsidRDefault="00331045">
      <w:pPr>
        <w:spacing w:after="0" w:line="240" w:lineRule="auto"/>
      </w:pPr>
      <w:r>
        <w:separator/>
      </w:r>
    </w:p>
  </w:footnote>
  <w:footnote w:type="continuationSeparator" w:id="0">
    <w:p w:rsidR="00331045" w:rsidRDefault="0033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048049"/>
      <w:docPartObj>
        <w:docPartGallery w:val="Page Numbers (Top of Page)"/>
        <w:docPartUnique/>
      </w:docPartObj>
    </w:sdtPr>
    <w:sdtEndPr/>
    <w:sdtContent>
      <w:p w:rsidR="004F2AF0" w:rsidRDefault="00D036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957">
          <w:rPr>
            <w:noProof/>
          </w:rPr>
          <w:t>2</w:t>
        </w:r>
        <w:r>
          <w:fldChar w:fldCharType="end"/>
        </w:r>
      </w:p>
    </w:sdtContent>
  </w:sdt>
  <w:p w:rsidR="004F2AF0" w:rsidRDefault="003310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02A66"/>
    <w:multiLevelType w:val="hybridMultilevel"/>
    <w:tmpl w:val="A926B75E"/>
    <w:lvl w:ilvl="0" w:tplc="02E8EE80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00E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18D8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8D0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0F3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E19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6FA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631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A75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A50DCC"/>
    <w:multiLevelType w:val="multilevel"/>
    <w:tmpl w:val="DEA4D05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AA5280"/>
    <w:multiLevelType w:val="hybridMultilevel"/>
    <w:tmpl w:val="9C3E6CDE"/>
    <w:lvl w:ilvl="0" w:tplc="0AAA9DDA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E33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C14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C5D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411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0F7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837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A71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8D1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BD711C"/>
    <w:multiLevelType w:val="hybridMultilevel"/>
    <w:tmpl w:val="345AE236"/>
    <w:lvl w:ilvl="0" w:tplc="F17E1678">
      <w:start w:val="1"/>
      <w:numFmt w:val="decimal"/>
      <w:lvlText w:val="%1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A15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CAED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65C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231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8E4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848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C3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A23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3B5884"/>
    <w:multiLevelType w:val="multilevel"/>
    <w:tmpl w:val="EC6EC43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43"/>
    <w:rsid w:val="00331045"/>
    <w:rsid w:val="00647957"/>
    <w:rsid w:val="008E0768"/>
    <w:rsid w:val="00D03643"/>
    <w:rsid w:val="00E3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9751A-8F69-4A7D-9148-C4BC00B0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4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3643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Grid2">
    <w:name w:val="TableGrid2"/>
    <w:rsid w:val="00D036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Александровна</dc:creator>
  <cp:keywords/>
  <dc:description/>
  <cp:lastModifiedBy>Иванова Наталья Александровна</cp:lastModifiedBy>
  <cp:revision>2</cp:revision>
  <dcterms:created xsi:type="dcterms:W3CDTF">2024-08-14T15:44:00Z</dcterms:created>
  <dcterms:modified xsi:type="dcterms:W3CDTF">2024-08-16T09:20:00Z</dcterms:modified>
</cp:coreProperties>
</file>