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39" w:rsidRDefault="00F94B39" w:rsidP="007D6849">
      <w:pPr>
        <w:pStyle w:val="ConsPlusNonformat"/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5CF4" w:rsidRPr="00B7746B" w:rsidRDefault="00F55CF4" w:rsidP="007D6849">
      <w:pPr>
        <w:keepNext/>
        <w:widowControl w:val="0"/>
      </w:pPr>
      <w:r>
        <w:t xml:space="preserve">                                                                                                                               </w:t>
      </w:r>
      <w:r w:rsidRPr="00B7746B">
        <w:t>Приложение №1</w:t>
      </w:r>
    </w:p>
    <w:p w:rsidR="00F55CF4" w:rsidRPr="00B7746B" w:rsidRDefault="00F55CF4" w:rsidP="007D6849">
      <w:pPr>
        <w:keepNext/>
        <w:widowControl w:val="0"/>
      </w:pPr>
      <w:r w:rsidRPr="00B7746B">
        <w:t xml:space="preserve">                         </w:t>
      </w:r>
      <w:r w:rsidRPr="00B7746B">
        <w:tab/>
      </w:r>
      <w:r w:rsidRPr="00B7746B">
        <w:tab/>
      </w:r>
      <w:r w:rsidRPr="00B7746B">
        <w:tab/>
      </w:r>
      <w:r w:rsidRPr="00B7746B">
        <w:tab/>
      </w:r>
      <w:r w:rsidRPr="00B7746B">
        <w:tab/>
      </w:r>
      <w:r w:rsidRPr="00B7746B">
        <w:tab/>
      </w:r>
      <w:r w:rsidRPr="00B7746B">
        <w:tab/>
        <w:t xml:space="preserve">                      к Извещению</w:t>
      </w:r>
    </w:p>
    <w:p w:rsidR="00F55CF4" w:rsidRPr="00B7746B" w:rsidRDefault="00F55CF4" w:rsidP="007D6849">
      <w:pPr>
        <w:keepNext/>
        <w:widowControl w:val="0"/>
        <w:ind w:left="7665"/>
      </w:pPr>
      <w:r w:rsidRPr="00B7746B">
        <w:t xml:space="preserve">об осуществлении </w:t>
      </w:r>
      <w:r>
        <w:t xml:space="preserve">                  </w:t>
      </w:r>
      <w:r w:rsidRPr="00B7746B">
        <w:t>закупки</w:t>
      </w:r>
    </w:p>
    <w:p w:rsidR="00F55CF4" w:rsidRPr="00B7746B" w:rsidRDefault="00F55CF4" w:rsidP="007D6849">
      <w:pPr>
        <w:keepNext/>
        <w:widowControl w:val="0"/>
        <w:jc w:val="center"/>
        <w:rPr>
          <w:b/>
        </w:rPr>
      </w:pPr>
    </w:p>
    <w:p w:rsidR="00F55CF4" w:rsidRPr="00B7746B" w:rsidRDefault="00F55CF4" w:rsidP="007D6849">
      <w:pPr>
        <w:keepNext/>
        <w:widowControl w:val="0"/>
        <w:jc w:val="center"/>
        <w:rPr>
          <w:b/>
        </w:rPr>
      </w:pPr>
    </w:p>
    <w:p w:rsidR="00F55CF4" w:rsidRPr="00B7746B" w:rsidRDefault="00F55CF4" w:rsidP="007D6849">
      <w:pPr>
        <w:keepNext/>
        <w:widowControl w:val="0"/>
        <w:ind w:left="425" w:hanging="425"/>
        <w:jc w:val="center"/>
        <w:rPr>
          <w:b/>
          <w:bCs/>
        </w:rPr>
      </w:pPr>
      <w:r w:rsidRPr="00B7746B">
        <w:rPr>
          <w:b/>
          <w:bCs/>
        </w:rPr>
        <w:t xml:space="preserve">Описание объекта закупки </w:t>
      </w:r>
    </w:p>
    <w:p w:rsidR="00F55CF4" w:rsidRPr="00B7746B" w:rsidRDefault="00F55CF4" w:rsidP="007D6849">
      <w:pPr>
        <w:keepNext/>
        <w:widowControl w:val="0"/>
        <w:jc w:val="center"/>
        <w:rPr>
          <w:b/>
          <w:bCs/>
        </w:rPr>
      </w:pPr>
      <w:r w:rsidRPr="00B7746B">
        <w:rPr>
          <w:b/>
          <w:bCs/>
        </w:rPr>
        <w:t>(</w:t>
      </w:r>
      <w:r w:rsidRPr="00B7746B">
        <w:rPr>
          <w:b/>
        </w:rPr>
        <w:t>Технические требования</w:t>
      </w:r>
      <w:r w:rsidRPr="00B7746B">
        <w:rPr>
          <w:b/>
          <w:bCs/>
        </w:rPr>
        <w:t>)</w:t>
      </w:r>
    </w:p>
    <w:p w:rsidR="00F55CF4" w:rsidRDefault="00F55CF4" w:rsidP="007D6849">
      <w:pPr>
        <w:pStyle w:val="ConsPlusNonformat"/>
        <w:keepNext/>
        <w:rPr>
          <w:rFonts w:ascii="Times New Roman" w:hAnsi="Times New Roman" w:cs="Times New Roman"/>
          <w:b/>
          <w:sz w:val="22"/>
          <w:szCs w:val="22"/>
        </w:rPr>
      </w:pPr>
    </w:p>
    <w:p w:rsidR="00F55CF4" w:rsidRDefault="00F55CF4" w:rsidP="007D6849">
      <w:pPr>
        <w:keepNext/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DD3955">
        <w:rPr>
          <w:rFonts w:eastAsia="Arial Unicode MS"/>
          <w:b/>
        </w:rPr>
        <w:t>Поставка технических средств реабилитации (Сигнализаторы звука цифровые) для обеспечения в 2024 году Получателей</w:t>
      </w:r>
    </w:p>
    <w:p w:rsidR="00F94B39" w:rsidRPr="000D42E5" w:rsidRDefault="00F94B39" w:rsidP="007D6849">
      <w:pPr>
        <w:keepNext/>
        <w:widowControl w:val="0"/>
        <w:shd w:val="clear" w:color="auto" w:fill="FFFFFF"/>
        <w:rPr>
          <w:b/>
          <w:sz w:val="22"/>
          <w:szCs w:val="22"/>
        </w:rPr>
      </w:pPr>
    </w:p>
    <w:tbl>
      <w:tblPr>
        <w:tblW w:w="110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910"/>
        <w:gridCol w:w="1675"/>
        <w:gridCol w:w="3140"/>
        <w:gridCol w:w="1491"/>
        <w:gridCol w:w="1323"/>
        <w:gridCol w:w="891"/>
      </w:tblGrid>
      <w:tr w:rsidR="006E0459" w:rsidRPr="007D6849" w:rsidTr="007D6849"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459" w:rsidRPr="007D6849" w:rsidRDefault="006E0459" w:rsidP="007D6849">
            <w:pPr>
              <w:keepNext/>
              <w:widowControl w:val="0"/>
              <w:ind w:left="-56" w:right="-61"/>
              <w:jc w:val="center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459" w:rsidRPr="007D6849" w:rsidRDefault="006E0459" w:rsidP="007D6849">
            <w:pPr>
              <w:keepNext/>
              <w:widowControl w:val="0"/>
              <w:ind w:left="-47" w:right="-73"/>
              <w:jc w:val="center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Код позиции</w:t>
            </w:r>
          </w:p>
        </w:tc>
        <w:tc>
          <w:tcPr>
            <w:tcW w:w="6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E0459" w:rsidP="007D6849">
            <w:pPr>
              <w:keepNext/>
              <w:widowControl w:val="0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Характеристики товара, работы, услуги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E0459" w:rsidP="007D6849">
            <w:pPr>
              <w:keepNext/>
              <w:widowControl w:val="0"/>
              <w:ind w:left="-54" w:right="-19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Количество</w:t>
            </w:r>
          </w:p>
          <w:p w:rsidR="006E0459" w:rsidRPr="007D6849" w:rsidRDefault="006E0459" w:rsidP="007D6849">
            <w:pPr>
              <w:keepNext/>
              <w:widowControl w:val="0"/>
              <w:ind w:left="-54" w:right="-19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(объем работы, услуги)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E0459" w:rsidP="007D6849">
            <w:pPr>
              <w:keepNext/>
              <w:widowControl w:val="0"/>
              <w:ind w:right="-38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Единица измерения</w:t>
            </w: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E01" w:rsidRPr="007D6849" w:rsidRDefault="00F90E01" w:rsidP="007D6849">
            <w:pPr>
              <w:keepNext/>
              <w:widowControl w:val="0"/>
              <w:ind w:left="-61" w:right="-75"/>
              <w:jc w:val="center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E01" w:rsidRPr="007D6849" w:rsidRDefault="00F90E01" w:rsidP="007D6849">
            <w:pPr>
              <w:keepNext/>
              <w:widowControl w:val="0"/>
              <w:ind w:left="-33" w:right="-54"/>
              <w:rPr>
                <w:b/>
                <w:sz w:val="20"/>
                <w:szCs w:val="20"/>
              </w:rPr>
            </w:pPr>
            <w:r w:rsidRPr="007D6849">
              <w:rPr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</w:tr>
      <w:tr w:rsidR="006E0459" w:rsidRPr="007D6849" w:rsidTr="007D6849"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102EE5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Сигнализатор звука цифровой </w:t>
            </w:r>
            <w:proofErr w:type="gramStart"/>
            <w:r w:rsidRPr="007D6849">
              <w:rPr>
                <w:sz w:val="20"/>
                <w:szCs w:val="20"/>
              </w:rPr>
              <w:t>с</w:t>
            </w:r>
            <w:proofErr w:type="gramEnd"/>
            <w:r w:rsidRPr="007D6849">
              <w:rPr>
                <w:sz w:val="20"/>
                <w:szCs w:val="20"/>
              </w:rPr>
              <w:t xml:space="preserve"> световой индикацией</w:t>
            </w:r>
            <w:r w:rsidR="006E0459" w:rsidRPr="007D6849">
              <w:rPr>
                <w:sz w:val="20"/>
                <w:szCs w:val="20"/>
              </w:rPr>
              <w:br/>
            </w:r>
            <w:r w:rsidR="006E0459" w:rsidRPr="007D6849">
              <w:rPr>
                <w:sz w:val="20"/>
                <w:szCs w:val="20"/>
              </w:rPr>
              <w:br/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102EE5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27.90.20.120-00000001</w:t>
            </w:r>
          </w:p>
        </w:tc>
        <w:tc>
          <w:tcPr>
            <w:tcW w:w="6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9" w:rsidRPr="007D6849" w:rsidRDefault="006E0459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DC358D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40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E0459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Штука</w:t>
            </w: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Общие характеристики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Сигнализатор звука цифровой </w:t>
            </w:r>
            <w:proofErr w:type="gramStart"/>
            <w:r w:rsidRPr="007D6849">
              <w:rPr>
                <w:sz w:val="20"/>
                <w:szCs w:val="20"/>
              </w:rPr>
              <w:t>со световой индикацией для людей с нарушением слуха предназначен для информирования пользователей о наличии</w:t>
            </w:r>
            <w:proofErr w:type="gramEnd"/>
            <w:r w:rsidRPr="007D6849">
              <w:rPr>
                <w:sz w:val="20"/>
                <w:szCs w:val="20"/>
              </w:rPr>
              <w:t xml:space="preserve"> звуковых сигналов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, дверного звонка и телефонного звонка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Настольный приемник со световой индикацией должен служить для оповещения пользователя о наличие бытовых сигналов: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дверного звонка;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домашнего стационарного телефона;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сотового телефона (смартфона);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.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Настольный световой приемник должен иметь возможность устанавливаться в удобном для наблюдения месте (прикроватная тумба, стол, стена и т.д.). Настольный приемник должен иметь дисплей. Приемник должен иметь возможность установки </w:t>
            </w:r>
            <w:proofErr w:type="gramStart"/>
            <w:r w:rsidRPr="007D6849">
              <w:rPr>
                <w:sz w:val="20"/>
                <w:szCs w:val="20"/>
              </w:rPr>
              <w:t>на</w:t>
            </w:r>
            <w:proofErr w:type="gramEnd"/>
            <w:r w:rsidRPr="007D6849">
              <w:rPr>
                <w:sz w:val="20"/>
                <w:szCs w:val="20"/>
              </w:rPr>
              <w:t xml:space="preserve"> вертикальную и горизонтальную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поверхность.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Настольный приемник должен оповещать пользователя о произошедших бытовых событиях с помощью: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световой индикации;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звуковой индикации;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 текстовом виде (за счет текста на русском языке).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Конструкция сигнализатора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сигнализатор звука должен быть беспроводным по конструкции;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радиус устойчивого приема сигнала в условиях прямой видимости не менее 30 м;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рабочая частота: 433,92 МГц +/- 0,2 %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Настольный приемник должен иметь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кнопку включения и выключения;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меню;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будильник;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одновременно 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регулировку уровня громкости и мелодии звуковых сигналов;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регулировку цвета звуковых сигналов, в целях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подбора оптимальной конфигурации под каждый вид события;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 и звуковой);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проводного подключения специального внешнего 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Универсальный передатчик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Универсальный передатчик должен служить </w:t>
            </w:r>
            <w:proofErr w:type="gramStart"/>
            <w:r w:rsidRPr="007D6849">
              <w:rPr>
                <w:sz w:val="20"/>
                <w:szCs w:val="20"/>
              </w:rPr>
              <w:t>для</w:t>
            </w:r>
            <w:proofErr w:type="gramEnd"/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передачи информации о входящем сигнале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 xml:space="preserve"> и телефона на настольный световой приемник. Передатчик универсальный должен иметь возможность подключаться к линии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 xml:space="preserve">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универсальный должен иметь: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- тестовую кнопку.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передатчика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Питание передатчика должно осуществляться </w:t>
            </w:r>
            <w:proofErr w:type="gramStart"/>
            <w:r w:rsidRPr="007D6849">
              <w:rPr>
                <w:sz w:val="20"/>
                <w:szCs w:val="20"/>
              </w:rPr>
              <w:t>от</w:t>
            </w:r>
            <w:proofErr w:type="gramEnd"/>
          </w:p>
          <w:p w:rsidR="00E36E8A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от встроенного аккумулятора или 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сменных элементов питания (батарей)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дверного звонка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Передатчик дверного звонка должен служить </w:t>
            </w:r>
            <w:proofErr w:type="gramStart"/>
            <w:r w:rsidRPr="007D6849">
              <w:rPr>
                <w:sz w:val="20"/>
                <w:szCs w:val="20"/>
              </w:rPr>
              <w:t>для</w:t>
            </w:r>
            <w:proofErr w:type="gramEnd"/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передачи информации о входящем сигнале дверного звонка на настольный световой приемник.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Передатчик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Датчик сотового телефона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настольный световой приемник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Комплект поставки сигнализатора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настольный приемник со световой индикацией - 1 шт.;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передатчик универсальный - 1 шт.;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передатчик дверного звонка - 1 шт.;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клеммы для подключения к линии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переходник для подключения к линии стационарного домашнего телефона;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держатели, элементы питания, зарядные устройства, необходимые для работы сигнализатора;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руководство пользователя на русском языке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приемника и время автономной работы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приемника должно быть от аккумулятора или сменных элементов питания (батарей).</w:t>
            </w:r>
          </w:p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Время автономной работы на настольном приемнике должно быть не менее 3-х суток.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90E01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Индикация уровня заряда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На приемнике должна быть индикация уровня заряда 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01" w:rsidRPr="007D6849" w:rsidRDefault="00F90E01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Значение характеристики не может изменяться участником </w:t>
            </w:r>
            <w:r w:rsidRPr="007D6849">
              <w:rPr>
                <w:sz w:val="20"/>
                <w:szCs w:val="20"/>
              </w:rPr>
              <w:lastRenderedPageBreak/>
              <w:t>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E01" w:rsidRPr="007D6849" w:rsidRDefault="00F90E01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E0459" w:rsidRPr="007D6849" w:rsidTr="007D6849"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7D6849" w:rsidRDefault="003A0EDF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Сигнализатор звука цифровой с вибрационной индикацией</w:t>
            </w:r>
            <w:r w:rsidR="006E0459" w:rsidRPr="007D6849">
              <w:rPr>
                <w:sz w:val="20"/>
                <w:szCs w:val="20"/>
              </w:rPr>
              <w:br/>
            </w:r>
            <w:r w:rsidR="006E0459" w:rsidRPr="007D6849">
              <w:rPr>
                <w:sz w:val="20"/>
                <w:szCs w:val="20"/>
              </w:rPr>
              <w:br/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7D6849" w:rsidRDefault="00B92AD6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27.90.20.120-00000002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459" w:rsidRPr="007D6849" w:rsidRDefault="006E0459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7D6849" w:rsidRDefault="00DC358D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40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459" w:rsidRPr="007D6849" w:rsidRDefault="006E0459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Штука</w:t>
            </w:r>
          </w:p>
        </w:tc>
      </w:tr>
      <w:tr w:rsidR="000D2AB8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Общие характеристики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Сигнализатор звука цифровой с вибрационной индикацией для людей с нарушением слуха должен быть предназначен для информирования пользователей о наличии звуковых сигналов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, дверного звонка и телефонного звонка.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Карманный приемник с вибрационной индикацией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должен служить для оповещения пользователя о наличие бытовых сигналов: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дверного звонка;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домашнего стационарного телефона;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сотового телефона (смартфона);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.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Карманный приемник должен иметь компактные габаритные размеры. Карманный приемник должен иметь клипсу для крепления на пояс.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Приемник должен оповещать пользователя о произошедших бытовых событиях с помощью: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вибрационной индикации; 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световой индикации;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звуковой индикации;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 текстовом виде (за счет текста на русском языке).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Приемник должен иметь: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кнопку включения и выключения;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меню;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будильник;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возможность записи и просмотра </w:t>
            </w:r>
            <w:proofErr w:type="gramStart"/>
            <w:r w:rsidRPr="007D6849">
              <w:rPr>
                <w:sz w:val="20"/>
                <w:szCs w:val="20"/>
              </w:rPr>
              <w:t>событий</w:t>
            </w:r>
            <w:proofErr w:type="gramEnd"/>
            <w:r w:rsidRPr="007D6849">
              <w:rPr>
                <w:sz w:val="20"/>
                <w:szCs w:val="20"/>
              </w:rPr>
              <w:t xml:space="preserve"> с указанием времени произошедшего и пропущенного события и описания характера события на русском языке;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регулировку уровня громкости и мелодии звуковых сигналов;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proofErr w:type="gramStart"/>
            <w:r w:rsidRPr="007D6849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(световой, звуковой и</w:t>
            </w:r>
            <w:proofErr w:type="gramEnd"/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вибрационной)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2AB8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Конструкция сигнализатора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-сигнализатор звука должен быть беспроводным по конструкции;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конструкция сигнализатора </w:t>
            </w:r>
            <w:r w:rsidRPr="007D6849">
              <w:rPr>
                <w:sz w:val="20"/>
                <w:szCs w:val="20"/>
              </w:rPr>
              <w:lastRenderedPageBreak/>
              <w:t>должна обеспечивать пользователю удобство и простоту обращения, самостоятельную установку при подготовке и во время эксплуатации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 xml:space="preserve">Значение характеристики не может </w:t>
            </w:r>
            <w:r w:rsidRPr="007D6849">
              <w:rPr>
                <w:sz w:val="20"/>
                <w:szCs w:val="20"/>
              </w:rPr>
              <w:lastRenderedPageBreak/>
              <w:t>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2AB8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радиус устойчивого приема сигнала в условиях прямой видимости не менее 30 м;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рабочая частота: 433,92 МГц +/- 0,2 %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2AB8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Универсальный передатчик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Универсальный передатчик должен служить для передачи информации о входящем сигнале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 xml:space="preserve"> и телефона на карманный приемник с вибрационной индикацией. Передатчик универсальный должен иметь возможность подключаться к линии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 xml:space="preserve">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универсальный должен иметь: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тестовую кнопку.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2AB8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передатчика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Питание передатчика должно осуществляться </w:t>
            </w:r>
            <w:proofErr w:type="gramStart"/>
            <w:r w:rsidRPr="007D6849">
              <w:rPr>
                <w:sz w:val="20"/>
                <w:szCs w:val="20"/>
              </w:rPr>
              <w:t>от</w:t>
            </w:r>
            <w:proofErr w:type="gramEnd"/>
          </w:p>
          <w:p w:rsidR="00E36E8A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 встроенного аккумулятора или </w:t>
            </w:r>
          </w:p>
          <w:p w:rsidR="000D2AB8" w:rsidRPr="007D6849" w:rsidRDefault="000D2AB8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сменных элементов питания (батарей)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AB8" w:rsidRPr="007D6849" w:rsidRDefault="000D2AB8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AB8" w:rsidRPr="007D6849" w:rsidRDefault="000D2AB8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65D4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дверного звонка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Передатчик дверного звонка должен служить </w:t>
            </w:r>
            <w:proofErr w:type="gramStart"/>
            <w:r w:rsidRPr="007D6849">
              <w:rPr>
                <w:sz w:val="20"/>
                <w:szCs w:val="20"/>
              </w:rPr>
              <w:t>для</w:t>
            </w:r>
            <w:proofErr w:type="gramEnd"/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передачи информации о входящем сигнале дверного звонка на карманный приемник с вибрационной индикацией.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Передатчик должен иметь встроенную кнопку активации дверного звонка. Передатчик должен иметь светодиодный индикатор активации дверного </w:t>
            </w:r>
            <w:r w:rsidRPr="007D6849">
              <w:rPr>
                <w:sz w:val="20"/>
                <w:szCs w:val="20"/>
              </w:rPr>
              <w:lastRenderedPageBreak/>
              <w:t>звонка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65D4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Датчик сотового телефона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Датчик сотового телефона (смартфона) должен служить для передачи информации о входящем сигнале сотового (входящий звонок, сообщение и т.д.) телефона (смартфона) на карманный приемник с вибрационной индикацией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65D4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Комплект поставки сигнализатора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карманный приемник с вибрационной индикацией - 1 шт.;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передатчик универсальный - 1 шт.;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передатчик дверного звонка - 1 шт.;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клеммы для подключения к линии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переходник для подключения к линии стационарного домашнего телефона;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держатели, элементы питания, зарядные устройства необходимые для работы сигнализатора;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руководство пользователя на русском языке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65D4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приемника и время автономной работы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приемника должно быть от аккумулятора или сменных элементов питания (батарей).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Время автономной работы на карманном приемнике должно быть не менее 3-х суток.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65D4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Индикация уровня заряда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На приемнике должна быть индикация уровня заряда 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65D4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передатчика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Питание передатчика должно осуществляться </w:t>
            </w:r>
          </w:p>
          <w:p w:rsidR="00E36E8A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от встроенного аккумулятора или </w:t>
            </w:r>
          </w:p>
          <w:p w:rsidR="009265D4" w:rsidRPr="007D6849" w:rsidRDefault="009265D4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сменных элементов питания (батарей)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D4" w:rsidRPr="007D6849" w:rsidRDefault="009265D4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5D4" w:rsidRPr="007D6849" w:rsidRDefault="009265D4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E0459" w:rsidRPr="007D6849" w:rsidTr="007D6849">
        <w:tc>
          <w:tcPr>
            <w:tcW w:w="16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D6D1A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Сигнализатор звука цифровой с вибрационной и световой индикацией</w:t>
            </w:r>
            <w:r w:rsidR="006E0459" w:rsidRPr="007D6849">
              <w:rPr>
                <w:sz w:val="20"/>
                <w:szCs w:val="20"/>
              </w:rPr>
              <w:br/>
            </w:r>
            <w:r w:rsidR="006E0459" w:rsidRPr="007D6849">
              <w:rPr>
                <w:sz w:val="20"/>
                <w:szCs w:val="20"/>
              </w:rPr>
              <w:br/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D6D1A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27.90.20.120-00000003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9" w:rsidRPr="007D6849" w:rsidRDefault="006E0459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DC358D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72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459" w:rsidRPr="007D6849" w:rsidRDefault="006E0459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Штука</w:t>
            </w: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Общие характеристики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Сигнализатор звука цифровой с вибрационной и световой индикацией для людей с нарушением слуха должен быть предназначен для информирования пользователей о наличии звуковых сигналов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, дверного звонка и телефонного звонка.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Карманный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дверного звонка;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- домашнего стационарного телефона;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сотового телефона (смартфона);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.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Карманный приемник должен иметь компактные габаритные размеры. Карманный приемник должен иметь клипсу для крепления на пояс.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Приемник должен оповещать пользователя о произошедших бытовых событиях с помощью: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световой индикации;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звуковой индикации;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вибрационной индикации;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 текстовом виде (за счет текста на русском языке).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Приемник должен иметь: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кнопку включения и выключения;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меню;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будильник;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регулировку уровня громкости и мелодии звуковых сигналов;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Универсальный передатчик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Универсальный передатчик должен служить для передачи информации о входящем сигнале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 xml:space="preserve"> и телефона на карманный приемник с вибрационной и световой индикацией. Передатчик универсальный должен иметь возможность подключаться к линии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 xml:space="preserve">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Конструкция </w:t>
            </w:r>
            <w:r w:rsidRPr="007D6849">
              <w:rPr>
                <w:sz w:val="20"/>
                <w:szCs w:val="20"/>
              </w:rPr>
              <w:lastRenderedPageBreak/>
              <w:t>сигнализатора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 xml:space="preserve">- сигнализатор звука должен быть </w:t>
            </w:r>
            <w:r w:rsidRPr="007D6849">
              <w:rPr>
                <w:sz w:val="20"/>
                <w:szCs w:val="20"/>
              </w:rPr>
              <w:lastRenderedPageBreak/>
              <w:t>беспроводным по конструкции;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 xml:space="preserve">Значение </w:t>
            </w:r>
            <w:r w:rsidRPr="007D6849">
              <w:rPr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радиус устойчивого приема сигнала </w:t>
            </w:r>
            <w:proofErr w:type="gramStart"/>
            <w:r w:rsidRPr="007D6849">
              <w:rPr>
                <w:sz w:val="20"/>
                <w:szCs w:val="20"/>
              </w:rPr>
              <w:t>в</w:t>
            </w:r>
            <w:proofErr w:type="gramEnd"/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proofErr w:type="gramStart"/>
            <w:r w:rsidRPr="007D6849">
              <w:rPr>
                <w:sz w:val="20"/>
                <w:szCs w:val="20"/>
              </w:rPr>
              <w:t>условиях</w:t>
            </w:r>
            <w:proofErr w:type="gramEnd"/>
            <w:r w:rsidRPr="007D6849">
              <w:rPr>
                <w:sz w:val="20"/>
                <w:szCs w:val="20"/>
              </w:rPr>
              <w:t xml:space="preserve"> прямой видимости не менее 30 м;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рабочая частота: 433,92 МГц +/- 0,2 %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универсальный должен иметь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тестовую кнопку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дверного звонка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дверного звонка должен служить для передачи информации о входящем сигнале дверного звонка на карманный приемник с вибрационной и световой индикацией.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Передатчик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Датчик сотового телефона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Датчик сотового телефона (смартфона) должен служить для передачи информации о входящем сигнале сотового (входящий звонок, сообщение и т.д.) телефона (смартфона) на карманный приемник с вибрационной и световой индикацией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Комплект поставки сигнализатора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карманный приемник с вибрационной и световой индикацией - 1 шт.;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передатчик универсальный - 1 шт.;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передатчик дверного звонка - 1 шт.;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клеммы для подключения к линии </w:t>
            </w:r>
            <w:proofErr w:type="spellStart"/>
            <w:r w:rsidRPr="007D6849">
              <w:rPr>
                <w:sz w:val="20"/>
                <w:szCs w:val="20"/>
              </w:rPr>
              <w:t>домофона</w:t>
            </w:r>
            <w:proofErr w:type="spellEnd"/>
            <w:r w:rsidRPr="007D6849">
              <w:rPr>
                <w:sz w:val="20"/>
                <w:szCs w:val="20"/>
              </w:rPr>
              <w:t>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переходник для подключения к линии стационарного домашнего телефона;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- держатели, элементы питания, </w:t>
            </w:r>
            <w:r w:rsidRPr="007D6849">
              <w:rPr>
                <w:sz w:val="20"/>
                <w:szCs w:val="20"/>
              </w:rPr>
              <w:lastRenderedPageBreak/>
              <w:t>зарядные устройства необходимые для работы сигнализатора;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- руководство пользователя на русском языке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приемника и время автономной работы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bookmarkStart w:id="0" w:name="_GoBack"/>
            <w:r w:rsidRPr="007D6849">
              <w:rPr>
                <w:sz w:val="20"/>
                <w:szCs w:val="20"/>
              </w:rPr>
              <w:t>Питание прием</w:t>
            </w:r>
            <w:bookmarkEnd w:id="0"/>
            <w:r w:rsidRPr="007D6849">
              <w:rPr>
                <w:sz w:val="20"/>
                <w:szCs w:val="20"/>
              </w:rPr>
              <w:t>ника должно быть от аккумулятора или сменных элементов питания (батарей).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Время автономной работы на карманном приемнике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должно быть не менее 3-х суток.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F4CCC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Индикация уровня заряда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На приемнике должна быть индикация уровня заряда</w:t>
            </w:r>
          </w:p>
          <w:p w:rsidR="005F4CCC" w:rsidRPr="007D6849" w:rsidRDefault="005F4CCC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CCC" w:rsidRPr="007D6849" w:rsidRDefault="005F4CCC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CCC" w:rsidRPr="007D6849" w:rsidRDefault="005F4CCC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E4A3F" w:rsidRPr="007D6849" w:rsidTr="007D6849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A3F" w:rsidRPr="007D6849" w:rsidRDefault="001E4A3F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A3F" w:rsidRPr="007D6849" w:rsidRDefault="001E4A3F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A3F" w:rsidRPr="007D6849" w:rsidRDefault="001E4A3F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Питание передатчика</w:t>
            </w:r>
          </w:p>
        </w:tc>
        <w:tc>
          <w:tcPr>
            <w:tcW w:w="314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A3F" w:rsidRPr="007D6849" w:rsidRDefault="001E4A3F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Питание передатчика должно осуществляться </w:t>
            </w:r>
            <w:proofErr w:type="gramStart"/>
            <w:r w:rsidRPr="007D6849">
              <w:rPr>
                <w:sz w:val="20"/>
                <w:szCs w:val="20"/>
              </w:rPr>
              <w:t>от</w:t>
            </w:r>
            <w:proofErr w:type="gramEnd"/>
          </w:p>
          <w:p w:rsidR="00E36E8A" w:rsidRPr="007D6849" w:rsidRDefault="001E4A3F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 xml:space="preserve">встроенного аккумулятора или </w:t>
            </w:r>
          </w:p>
          <w:p w:rsidR="001E4A3F" w:rsidRPr="007D6849" w:rsidRDefault="001E4A3F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сменных элементов питания (батарей)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A3F" w:rsidRPr="007D6849" w:rsidRDefault="001E4A3F" w:rsidP="009F753C">
            <w:pPr>
              <w:keepNext/>
              <w:widowControl w:val="0"/>
              <w:ind w:left="-47" w:right="-68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A3F" w:rsidRPr="007D6849" w:rsidRDefault="001E4A3F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A3F" w:rsidRPr="007D6849" w:rsidRDefault="001E4A3F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4111E" w:rsidRPr="007D6849" w:rsidTr="007D6849"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11E" w:rsidRPr="007D6849" w:rsidRDefault="005A1957" w:rsidP="007D6849">
            <w:pPr>
              <w:keepNext/>
              <w:widowControl w:val="0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111E" w:rsidRPr="007D6849" w:rsidRDefault="0074111E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1E" w:rsidRPr="007D6849" w:rsidRDefault="0074111E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11E" w:rsidRPr="007D6849" w:rsidRDefault="0074111E" w:rsidP="007D6849">
            <w:pPr>
              <w:keepNext/>
              <w:widowControl w:val="0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11E" w:rsidRPr="007D6849" w:rsidRDefault="0074111E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1E" w:rsidRPr="007D6849" w:rsidRDefault="005A1957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7D6849">
              <w:rPr>
                <w:sz w:val="20"/>
                <w:szCs w:val="20"/>
              </w:rPr>
              <w:t>152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1E" w:rsidRPr="007D6849" w:rsidRDefault="0074111E" w:rsidP="009F753C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2C45C5" w:rsidRPr="000D42E5" w:rsidRDefault="002C45C5" w:rsidP="007D6849">
      <w:pPr>
        <w:keepNext/>
        <w:widowControl w:val="0"/>
        <w:tabs>
          <w:tab w:val="left" w:pos="3495"/>
        </w:tabs>
        <w:ind w:right="67"/>
        <w:jc w:val="both"/>
        <w:rPr>
          <w:sz w:val="22"/>
          <w:szCs w:val="22"/>
        </w:rPr>
      </w:pPr>
    </w:p>
    <w:p w:rsidR="006C4466" w:rsidRPr="000D42E5" w:rsidRDefault="006C4466" w:rsidP="007D6849">
      <w:pPr>
        <w:pStyle w:val="a8"/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C4466" w:rsidRPr="000D42E5" w:rsidRDefault="006C4466" w:rsidP="007D6849">
      <w:pPr>
        <w:pStyle w:val="a8"/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C4466" w:rsidRPr="000D42E5" w:rsidRDefault="006C4466" w:rsidP="007D6849">
      <w:pPr>
        <w:pStyle w:val="a8"/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индивидуальной программой реабилитации или абилитации инвалида (ИПРА).</w:t>
      </w:r>
    </w:p>
    <w:p w:rsidR="008A7ED5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Требования к маркировке и упаковке: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товарный знак и (или) наименование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предприятия-изготовителя;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номер стандарта и (или) ТУ;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порядковый номер сигнализатора;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отметку о приемке.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Сигнализаторы должны быть упакованы в индивидуальную (потребительскую) тару по ГОСТ 28594-90.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D42E5">
        <w:rPr>
          <w:bCs/>
          <w:sz w:val="21"/>
          <w:szCs w:val="21"/>
        </w:rPr>
        <w:t>Требования к транспортной таре, упаковке и ее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D42E5">
        <w:rPr>
          <w:bCs/>
          <w:sz w:val="21"/>
          <w:szCs w:val="21"/>
        </w:rPr>
        <w:t>маркировке - по ГОСТ 28594-90.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D42E5">
        <w:rPr>
          <w:bCs/>
          <w:sz w:val="21"/>
          <w:szCs w:val="21"/>
        </w:rPr>
        <w:t>Документы: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декларация о соответствии.</w:t>
      </w:r>
    </w:p>
    <w:p w:rsidR="008A7ED5" w:rsidRPr="000D42E5" w:rsidRDefault="008A7ED5" w:rsidP="007D6849">
      <w:pPr>
        <w:keepNext/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должен соответствовать требованиям</w:t>
      </w:r>
    </w:p>
    <w:p w:rsidR="008A7ED5" w:rsidRPr="000D42E5" w:rsidRDefault="008A7ED5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следующих стандартов: ГОСТ </w:t>
      </w:r>
      <w:proofErr w:type="gramStart"/>
      <w:r w:rsidRPr="000D42E5">
        <w:rPr>
          <w:sz w:val="21"/>
          <w:szCs w:val="21"/>
        </w:rPr>
        <w:t>Р</w:t>
      </w:r>
      <w:proofErr w:type="gramEnd"/>
      <w:r w:rsidRPr="000D42E5">
        <w:rPr>
          <w:sz w:val="21"/>
          <w:szCs w:val="21"/>
        </w:rPr>
        <w:t xml:space="preserve"> 51632-2021 (Раздел 4), ГОСТ Р 51264-99, ГОСТ Р 70185-2022, ГОСТ Р ИСО 9999-2019, ГОСТ Р 52084-2003, ГОСТ 15150-69.</w:t>
      </w:r>
    </w:p>
    <w:p w:rsidR="006C4466" w:rsidRPr="000D42E5" w:rsidRDefault="006C4466" w:rsidP="007D6849">
      <w:pPr>
        <w:keepNext/>
        <w:widowControl w:val="0"/>
        <w:tabs>
          <w:tab w:val="left" w:pos="3495"/>
        </w:tabs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Поставка товаров осуществляется при наличии документов, подтверждающих соответствие товара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</w:t>
      </w:r>
      <w:r w:rsidR="006A0E45" w:rsidRPr="000D42E5">
        <w:rPr>
          <w:sz w:val="21"/>
          <w:szCs w:val="21"/>
        </w:rPr>
        <w:t>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Питание осуществляется от сети переменного тока и/или иных элементов питания.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не должен выделять при эксплуатации токсичных и агрессивных веществ.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При использовании товара по назначению не должно создаваться угрозы для жизни и здоровья Получателя, </w:t>
      </w:r>
      <w:r w:rsidRPr="000D42E5">
        <w:rPr>
          <w:sz w:val="21"/>
          <w:szCs w:val="21"/>
        </w:rPr>
        <w:lastRenderedPageBreak/>
        <w:t>окружающей среды, а также использование товара не должно причинять вред имуществу Получателя при его эксплуатации.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rFonts w:eastAsia="Lucida Sans Unicode"/>
          <w:sz w:val="21"/>
          <w:szCs w:val="21"/>
        </w:rPr>
      </w:pPr>
      <w:r w:rsidRPr="000D42E5">
        <w:rPr>
          <w:sz w:val="21"/>
          <w:szCs w:val="21"/>
        </w:rPr>
        <w:t>Сырье и материалы, из которых изготавливается товар, не должны выделять токсичных веще</w:t>
      </w:r>
      <w:proofErr w:type="gramStart"/>
      <w:r w:rsidRPr="000D42E5">
        <w:rPr>
          <w:sz w:val="21"/>
          <w:szCs w:val="21"/>
        </w:rPr>
        <w:t>ств пр</w:t>
      </w:r>
      <w:proofErr w:type="gramEnd"/>
      <w:r w:rsidRPr="000D42E5">
        <w:rPr>
          <w:sz w:val="21"/>
          <w:szCs w:val="21"/>
        </w:rPr>
        <w:t xml:space="preserve">и эксплуатации, а также воздействовать на цвет поверхности (одежду, кожу Получателя и т.д.) с которым контактируют при их нормальной эксплуатации, </w:t>
      </w:r>
      <w:r w:rsidRPr="000D42E5">
        <w:rPr>
          <w:rFonts w:eastAsia="Lucida Sans Unicode"/>
          <w:sz w:val="21"/>
          <w:szCs w:val="21"/>
        </w:rPr>
        <w:t xml:space="preserve">они </w:t>
      </w:r>
      <w:r w:rsidRPr="000D42E5">
        <w:rPr>
          <w:sz w:val="21"/>
          <w:szCs w:val="21"/>
        </w:rPr>
        <w:t>должны быть</w:t>
      </w:r>
      <w:r w:rsidRPr="000D42E5">
        <w:rPr>
          <w:rFonts w:eastAsia="Lucida Sans Unicode"/>
          <w:sz w:val="21"/>
          <w:szCs w:val="21"/>
        </w:rPr>
        <w:t xml:space="preserve">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безопасность для кожных покровов;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эстетичность;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комфортность;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простота пользования.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Гарантийный срок эксплуатации товара должен быть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D60687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Маркировка упаковки товара должна включать: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страну-изготовителя;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наименование предприятия-изготовителя, юридический адрес, товарный знак (при наличии);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отличительные характеристики товара в соответствии с их техническим исполнением (при наличии);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номер артикула (при наличии);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количество товара в упаковке;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дату (месяц, год) изготовления или гарантийный срок годности (при наличии);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правила использования (при необходимости);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штриховой код товара (при наличии);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- информацию о сертификации (при наличии).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Хранение должно осуществляться в соответствии с требованиями, предъявляемыми к данной категории товара.</w:t>
      </w:r>
    </w:p>
    <w:p w:rsidR="006C4466" w:rsidRPr="000D42E5" w:rsidRDefault="006C4466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5B3D2C" w:rsidRPr="000D42E5" w:rsidRDefault="005B3D2C" w:rsidP="007D6849">
      <w:pPr>
        <w:pStyle w:val="a8"/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Место поставки товара: </w:t>
      </w:r>
    </w:p>
    <w:p w:rsidR="005B3D2C" w:rsidRPr="000D42E5" w:rsidRDefault="005B3D2C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rFonts w:eastAsia="Calibri"/>
          <w:sz w:val="21"/>
          <w:szCs w:val="21"/>
          <w:lang w:eastAsia="en-US"/>
        </w:rPr>
        <w:t xml:space="preserve"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</w:t>
      </w:r>
      <w:r w:rsidRPr="000D42E5">
        <w:rPr>
          <w:sz w:val="21"/>
          <w:szCs w:val="21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5B3D2C" w:rsidRPr="000D42E5" w:rsidRDefault="005B3D2C" w:rsidP="007D6849">
      <w:pPr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5" w:history="1">
        <w:r w:rsidRPr="000D42E5">
          <w:rPr>
            <w:rStyle w:val="ac"/>
            <w:color w:val="auto"/>
            <w:sz w:val="21"/>
            <w:szCs w:val="21"/>
            <w:u w:val="none"/>
          </w:rPr>
          <w:t>приказом</w:t>
        </w:r>
      </w:hyperlink>
      <w:r w:rsidRPr="000D42E5">
        <w:rPr>
          <w:sz w:val="21"/>
          <w:szCs w:val="21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5B3D2C" w:rsidRPr="000D42E5" w:rsidRDefault="005B3D2C" w:rsidP="007D6849">
      <w:pPr>
        <w:pStyle w:val="a8"/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 xml:space="preserve">Срок поставки товара: </w:t>
      </w:r>
      <w:proofErr w:type="gramStart"/>
      <w:r w:rsidRPr="000D42E5">
        <w:rPr>
          <w:sz w:val="21"/>
          <w:szCs w:val="21"/>
        </w:rPr>
        <w:t>с даты получения</w:t>
      </w:r>
      <w:proofErr w:type="gramEnd"/>
      <w:r w:rsidRPr="000D42E5">
        <w:rPr>
          <w:sz w:val="21"/>
          <w:szCs w:val="21"/>
        </w:rPr>
        <w:t xml:space="preserve"> от Заказчика реестра получателей Товара до  </w:t>
      </w:r>
      <w:r w:rsidR="00DC358D">
        <w:rPr>
          <w:sz w:val="21"/>
          <w:szCs w:val="21"/>
        </w:rPr>
        <w:t>25.11.2024</w:t>
      </w:r>
      <w:r w:rsidR="00923756">
        <w:rPr>
          <w:sz w:val="21"/>
          <w:szCs w:val="21"/>
        </w:rPr>
        <w:t xml:space="preserve">  </w:t>
      </w:r>
      <w:r w:rsidRPr="000D42E5">
        <w:rPr>
          <w:sz w:val="21"/>
          <w:szCs w:val="21"/>
        </w:rPr>
        <w:t>должно быть поставлено 100% общего объема товара.</w:t>
      </w:r>
    </w:p>
    <w:p w:rsidR="00333DF7" w:rsidRPr="00975F2C" w:rsidRDefault="005B3D2C" w:rsidP="007D6849">
      <w:pPr>
        <w:pStyle w:val="a8"/>
        <w:keepNext/>
        <w:widowControl w:val="0"/>
        <w:ind w:firstLine="232"/>
        <w:jc w:val="both"/>
        <w:rPr>
          <w:sz w:val="21"/>
          <w:szCs w:val="21"/>
        </w:rPr>
      </w:pPr>
      <w:r w:rsidRPr="000D42E5">
        <w:rPr>
          <w:sz w:val="21"/>
          <w:szCs w:val="21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sectPr w:rsidR="00333DF7" w:rsidRPr="00975F2C" w:rsidSect="002C45C5">
      <w:pgSz w:w="11906" w:h="16838"/>
      <w:pgMar w:top="567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85"/>
    <w:rsid w:val="00011934"/>
    <w:rsid w:val="00011C6C"/>
    <w:rsid w:val="000319E0"/>
    <w:rsid w:val="000414A3"/>
    <w:rsid w:val="00041EAC"/>
    <w:rsid w:val="00042431"/>
    <w:rsid w:val="00072EFB"/>
    <w:rsid w:val="00081FEA"/>
    <w:rsid w:val="0008599C"/>
    <w:rsid w:val="00090039"/>
    <w:rsid w:val="000900D6"/>
    <w:rsid w:val="000C4F87"/>
    <w:rsid w:val="000D00E4"/>
    <w:rsid w:val="000D2AB8"/>
    <w:rsid w:val="000D42E5"/>
    <w:rsid w:val="000F33F7"/>
    <w:rsid w:val="00102EE5"/>
    <w:rsid w:val="00107C1B"/>
    <w:rsid w:val="0011449A"/>
    <w:rsid w:val="00144BCD"/>
    <w:rsid w:val="0014617B"/>
    <w:rsid w:val="001752AC"/>
    <w:rsid w:val="00191155"/>
    <w:rsid w:val="001928FC"/>
    <w:rsid w:val="0019336B"/>
    <w:rsid w:val="001A0F26"/>
    <w:rsid w:val="001A72A8"/>
    <w:rsid w:val="001B78B3"/>
    <w:rsid w:val="001C3D67"/>
    <w:rsid w:val="001C4FE7"/>
    <w:rsid w:val="001D2469"/>
    <w:rsid w:val="001D333C"/>
    <w:rsid w:val="001E4A3F"/>
    <w:rsid w:val="001F34C5"/>
    <w:rsid w:val="001F5618"/>
    <w:rsid w:val="002044C6"/>
    <w:rsid w:val="00205E32"/>
    <w:rsid w:val="00211DF8"/>
    <w:rsid w:val="002314C5"/>
    <w:rsid w:val="00235BA2"/>
    <w:rsid w:val="00237968"/>
    <w:rsid w:val="00247A5A"/>
    <w:rsid w:val="00250D54"/>
    <w:rsid w:val="00252260"/>
    <w:rsid w:val="00252965"/>
    <w:rsid w:val="00253130"/>
    <w:rsid w:val="00276C17"/>
    <w:rsid w:val="0027762A"/>
    <w:rsid w:val="00281E7D"/>
    <w:rsid w:val="00290780"/>
    <w:rsid w:val="002909D8"/>
    <w:rsid w:val="00295675"/>
    <w:rsid w:val="002A0278"/>
    <w:rsid w:val="002A5B82"/>
    <w:rsid w:val="002B3281"/>
    <w:rsid w:val="002C45C5"/>
    <w:rsid w:val="002F09A9"/>
    <w:rsid w:val="0031527F"/>
    <w:rsid w:val="00315700"/>
    <w:rsid w:val="00333DF7"/>
    <w:rsid w:val="00350BBB"/>
    <w:rsid w:val="00350EDC"/>
    <w:rsid w:val="00351F1B"/>
    <w:rsid w:val="003A0EDF"/>
    <w:rsid w:val="003C0652"/>
    <w:rsid w:val="003C454B"/>
    <w:rsid w:val="003D7C00"/>
    <w:rsid w:val="00405A4B"/>
    <w:rsid w:val="0042443A"/>
    <w:rsid w:val="00430945"/>
    <w:rsid w:val="0043678D"/>
    <w:rsid w:val="00444F69"/>
    <w:rsid w:val="00446490"/>
    <w:rsid w:val="004761AB"/>
    <w:rsid w:val="004903A1"/>
    <w:rsid w:val="00490E8C"/>
    <w:rsid w:val="00497D04"/>
    <w:rsid w:val="004B50EC"/>
    <w:rsid w:val="005032B3"/>
    <w:rsid w:val="005139B9"/>
    <w:rsid w:val="00517409"/>
    <w:rsid w:val="00523199"/>
    <w:rsid w:val="0052638D"/>
    <w:rsid w:val="00560F81"/>
    <w:rsid w:val="0056169E"/>
    <w:rsid w:val="00564B0D"/>
    <w:rsid w:val="005721B3"/>
    <w:rsid w:val="005804A5"/>
    <w:rsid w:val="005811CA"/>
    <w:rsid w:val="00586C50"/>
    <w:rsid w:val="005A1957"/>
    <w:rsid w:val="005B3D2C"/>
    <w:rsid w:val="005B6696"/>
    <w:rsid w:val="005F1D06"/>
    <w:rsid w:val="005F4CCC"/>
    <w:rsid w:val="00603C6E"/>
    <w:rsid w:val="00606825"/>
    <w:rsid w:val="00614280"/>
    <w:rsid w:val="006224FA"/>
    <w:rsid w:val="00624B66"/>
    <w:rsid w:val="00631747"/>
    <w:rsid w:val="006328F0"/>
    <w:rsid w:val="00642698"/>
    <w:rsid w:val="00656463"/>
    <w:rsid w:val="00680CB7"/>
    <w:rsid w:val="00690232"/>
    <w:rsid w:val="00695152"/>
    <w:rsid w:val="006A0E45"/>
    <w:rsid w:val="006C24E2"/>
    <w:rsid w:val="006C4466"/>
    <w:rsid w:val="006D6410"/>
    <w:rsid w:val="006D6D1A"/>
    <w:rsid w:val="006E0459"/>
    <w:rsid w:val="0070027C"/>
    <w:rsid w:val="00704F19"/>
    <w:rsid w:val="00705DFE"/>
    <w:rsid w:val="007152E1"/>
    <w:rsid w:val="0074111E"/>
    <w:rsid w:val="007767AC"/>
    <w:rsid w:val="007C7DF1"/>
    <w:rsid w:val="007D41B7"/>
    <w:rsid w:val="007D6849"/>
    <w:rsid w:val="007F29AA"/>
    <w:rsid w:val="0081768A"/>
    <w:rsid w:val="0083335E"/>
    <w:rsid w:val="00833F96"/>
    <w:rsid w:val="008728AF"/>
    <w:rsid w:val="0088163F"/>
    <w:rsid w:val="008A7ED5"/>
    <w:rsid w:val="008B4C33"/>
    <w:rsid w:val="008C4815"/>
    <w:rsid w:val="008D4092"/>
    <w:rsid w:val="008E1A18"/>
    <w:rsid w:val="008F7D2A"/>
    <w:rsid w:val="0090306A"/>
    <w:rsid w:val="00907829"/>
    <w:rsid w:val="00912690"/>
    <w:rsid w:val="00912967"/>
    <w:rsid w:val="009135D4"/>
    <w:rsid w:val="00921753"/>
    <w:rsid w:val="00922115"/>
    <w:rsid w:val="00923756"/>
    <w:rsid w:val="00923B3B"/>
    <w:rsid w:val="009265D4"/>
    <w:rsid w:val="00932A78"/>
    <w:rsid w:val="00945253"/>
    <w:rsid w:val="00946B2B"/>
    <w:rsid w:val="00975F2C"/>
    <w:rsid w:val="009765C0"/>
    <w:rsid w:val="009820D0"/>
    <w:rsid w:val="009C06BB"/>
    <w:rsid w:val="009E7D3D"/>
    <w:rsid w:val="009F753C"/>
    <w:rsid w:val="00A240A6"/>
    <w:rsid w:val="00A258D2"/>
    <w:rsid w:val="00A26013"/>
    <w:rsid w:val="00A26163"/>
    <w:rsid w:val="00A3041B"/>
    <w:rsid w:val="00A365C7"/>
    <w:rsid w:val="00A417C5"/>
    <w:rsid w:val="00A500A4"/>
    <w:rsid w:val="00A72C8F"/>
    <w:rsid w:val="00A814A0"/>
    <w:rsid w:val="00A826AE"/>
    <w:rsid w:val="00AA096A"/>
    <w:rsid w:val="00AB21A5"/>
    <w:rsid w:val="00AC7F7A"/>
    <w:rsid w:val="00AD54B5"/>
    <w:rsid w:val="00B052F1"/>
    <w:rsid w:val="00B0567A"/>
    <w:rsid w:val="00B532D5"/>
    <w:rsid w:val="00B80C6F"/>
    <w:rsid w:val="00B92AD6"/>
    <w:rsid w:val="00BA1702"/>
    <w:rsid w:val="00BC62B7"/>
    <w:rsid w:val="00BC70D5"/>
    <w:rsid w:val="00BF3A20"/>
    <w:rsid w:val="00BF6577"/>
    <w:rsid w:val="00C00941"/>
    <w:rsid w:val="00C34F85"/>
    <w:rsid w:val="00C55064"/>
    <w:rsid w:val="00C56279"/>
    <w:rsid w:val="00C73EB3"/>
    <w:rsid w:val="00C750A7"/>
    <w:rsid w:val="00C971EE"/>
    <w:rsid w:val="00CC387B"/>
    <w:rsid w:val="00CC450E"/>
    <w:rsid w:val="00CD52E2"/>
    <w:rsid w:val="00CF295B"/>
    <w:rsid w:val="00CF4198"/>
    <w:rsid w:val="00CF50AD"/>
    <w:rsid w:val="00D03E80"/>
    <w:rsid w:val="00D12590"/>
    <w:rsid w:val="00D16690"/>
    <w:rsid w:val="00D3175F"/>
    <w:rsid w:val="00D33F48"/>
    <w:rsid w:val="00D42F1B"/>
    <w:rsid w:val="00D540BE"/>
    <w:rsid w:val="00D60687"/>
    <w:rsid w:val="00D6703B"/>
    <w:rsid w:val="00D77DBB"/>
    <w:rsid w:val="00D82012"/>
    <w:rsid w:val="00D82185"/>
    <w:rsid w:val="00D872CD"/>
    <w:rsid w:val="00DC358D"/>
    <w:rsid w:val="00DD07AB"/>
    <w:rsid w:val="00DF79B9"/>
    <w:rsid w:val="00E00F62"/>
    <w:rsid w:val="00E122E9"/>
    <w:rsid w:val="00E14872"/>
    <w:rsid w:val="00E14EC6"/>
    <w:rsid w:val="00E26E23"/>
    <w:rsid w:val="00E276FD"/>
    <w:rsid w:val="00E346BE"/>
    <w:rsid w:val="00E354CF"/>
    <w:rsid w:val="00E36E8A"/>
    <w:rsid w:val="00E51DB5"/>
    <w:rsid w:val="00E93BDB"/>
    <w:rsid w:val="00EA1A75"/>
    <w:rsid w:val="00EA5C5B"/>
    <w:rsid w:val="00EB0718"/>
    <w:rsid w:val="00EB1E2D"/>
    <w:rsid w:val="00EC5184"/>
    <w:rsid w:val="00ED61BE"/>
    <w:rsid w:val="00EE7099"/>
    <w:rsid w:val="00EF131B"/>
    <w:rsid w:val="00EF3269"/>
    <w:rsid w:val="00EF64D1"/>
    <w:rsid w:val="00F02390"/>
    <w:rsid w:val="00F108BC"/>
    <w:rsid w:val="00F2385E"/>
    <w:rsid w:val="00F27942"/>
    <w:rsid w:val="00F345C8"/>
    <w:rsid w:val="00F373F7"/>
    <w:rsid w:val="00F423F8"/>
    <w:rsid w:val="00F478AA"/>
    <w:rsid w:val="00F55CF4"/>
    <w:rsid w:val="00F75B96"/>
    <w:rsid w:val="00F90E01"/>
    <w:rsid w:val="00F929A6"/>
    <w:rsid w:val="00F94570"/>
    <w:rsid w:val="00F94B39"/>
    <w:rsid w:val="00FA1978"/>
    <w:rsid w:val="00FC4B15"/>
    <w:rsid w:val="00FD1F5A"/>
    <w:rsid w:val="00FD3BEB"/>
    <w:rsid w:val="00FD798C"/>
    <w:rsid w:val="00FF4B03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F64D1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spacing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21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aliases w:val="Çàã1,BO,ID,body indent,andrad,EHPT,Body Text2"/>
    <w:basedOn w:val="a"/>
    <w:link w:val="a4"/>
    <w:uiPriority w:val="99"/>
    <w:rsid w:val="00D82185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текст Знак"/>
    <w:aliases w:val="Çàã1 Знак,BO Знак,ID Знак,body indent Знак,andrad Знак,EHPT Знак,Body Text2 Знак"/>
    <w:link w:val="a3"/>
    <w:uiPriority w:val="99"/>
    <w:locked/>
    <w:rsid w:val="00D821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82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2185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сновной текст 24"/>
    <w:basedOn w:val="a"/>
    <w:rsid w:val="00D82185"/>
    <w:pPr>
      <w:suppressAutoHyphens/>
      <w:jc w:val="both"/>
    </w:pPr>
    <w:rPr>
      <w:sz w:val="26"/>
      <w:szCs w:val="28"/>
      <w:lang w:eastAsia="ar-SA"/>
    </w:rPr>
  </w:style>
  <w:style w:type="character" w:styleId="a7">
    <w:name w:val="Strong"/>
    <w:uiPriority w:val="99"/>
    <w:qFormat/>
    <w:rsid w:val="00446490"/>
    <w:rPr>
      <w:rFonts w:cs="Times New Roman"/>
      <w:b/>
      <w:bCs/>
    </w:rPr>
  </w:style>
  <w:style w:type="paragraph" w:customStyle="1" w:styleId="11">
    <w:name w:val="Без интервала1"/>
    <w:uiPriority w:val="99"/>
    <w:rsid w:val="00E276FD"/>
    <w:rPr>
      <w:rFonts w:ascii="Times New Roman" w:eastAsia="Times New Roman" w:hAnsi="Times New Roman"/>
      <w:sz w:val="24"/>
      <w:szCs w:val="24"/>
    </w:rPr>
  </w:style>
  <w:style w:type="paragraph" w:styleId="a8">
    <w:name w:val="No Spacing"/>
    <w:aliases w:val="для таблиц"/>
    <w:uiPriority w:val="1"/>
    <w:qFormat/>
    <w:rsid w:val="00E276FD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F108B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F64D1"/>
    <w:rPr>
      <w:rFonts w:ascii="Times New Roman" w:eastAsia="Times New Roman" w:hAnsi="Times New Roman"/>
      <w:b/>
      <w:spacing w:val="20"/>
      <w:sz w:val="24"/>
      <w:lang w:eastAsia="ar-SA"/>
    </w:rPr>
  </w:style>
  <w:style w:type="paragraph" w:customStyle="1" w:styleId="ConsPlusNormal">
    <w:name w:val="ConsPlusNormal"/>
    <w:link w:val="ConsPlusNormal0"/>
    <w:rsid w:val="00EF64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365C7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aliases w:val="GOST_TableList,it_List1"/>
    <w:basedOn w:val="a"/>
    <w:link w:val="aa"/>
    <w:qFormat/>
    <w:rsid w:val="00315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aliases w:val="GOST_TableList Знак,it_List1 Знак"/>
    <w:link w:val="a9"/>
    <w:locked/>
    <w:rsid w:val="00315700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2C45C5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5B3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F8BD1570907C1BEE8E7EB4A07407728A85E2C2BCB714F43267B25686BB0952614F57899DC8282E00998CDDB9jA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2813</Words>
  <Characters>20408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ILMIRA_G</dc:creator>
  <cp:keywords/>
  <dc:description/>
  <cp:lastModifiedBy>002SHmarevaZI</cp:lastModifiedBy>
  <cp:revision>222</cp:revision>
  <cp:lastPrinted>2024-10-10T11:39:00Z</cp:lastPrinted>
  <dcterms:created xsi:type="dcterms:W3CDTF">2015-10-08T12:00:00Z</dcterms:created>
  <dcterms:modified xsi:type="dcterms:W3CDTF">2024-10-15T05:05:00Z</dcterms:modified>
</cp:coreProperties>
</file>